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1C" w:rsidRDefault="0020481C" w:rsidP="0020481C">
      <w:pPr>
        <w:spacing w:after="0" w:line="240" w:lineRule="auto"/>
        <w:jc w:val="both"/>
        <w:rPr>
          <w:rFonts w:ascii="Calibri Light" w:hAnsi="Calibri Light"/>
          <w:sz w:val="24"/>
          <w:szCs w:val="24"/>
        </w:rPr>
      </w:pPr>
      <w:bookmarkStart w:id="0" w:name="_GoBack"/>
      <w:bookmarkEnd w:id="0"/>
    </w:p>
    <w:p w:rsidR="007A5835" w:rsidRPr="003C2FEA" w:rsidRDefault="007A5835" w:rsidP="00355695">
      <w:pPr>
        <w:ind w:right="-4"/>
        <w:jc w:val="center"/>
        <w:rPr>
          <w:rFonts w:ascii="Verdana" w:hAnsi="Verdana"/>
          <w:b/>
          <w:bCs/>
          <w:iCs/>
        </w:rPr>
      </w:pPr>
      <w:r w:rsidRPr="003C2FEA">
        <w:rPr>
          <w:rFonts w:ascii="Verdana" w:hAnsi="Verdana"/>
          <w:b/>
          <w:bCs/>
          <w:iCs/>
        </w:rPr>
        <w:t xml:space="preserve">Agenda Item X </w:t>
      </w:r>
      <w:r w:rsidR="003C2FEA">
        <w:rPr>
          <w:rFonts w:ascii="Verdana" w:hAnsi="Verdana"/>
          <w:b/>
          <w:bCs/>
          <w:iCs/>
        </w:rPr>
        <w:t>(</w:t>
      </w:r>
      <w:r w:rsidRPr="003C2FEA">
        <w:rPr>
          <w:rFonts w:ascii="Verdana" w:hAnsi="Verdana"/>
          <w:b/>
          <w:bCs/>
          <w:iCs/>
        </w:rPr>
        <w:t xml:space="preserve">x):  SADC VSAT2 </w:t>
      </w:r>
      <w:r w:rsidR="00DA6A07">
        <w:rPr>
          <w:rFonts w:ascii="Verdana" w:hAnsi="Verdana"/>
          <w:b/>
          <w:bCs/>
          <w:iCs/>
        </w:rPr>
        <w:t>Upgrade Progress Report</w:t>
      </w:r>
    </w:p>
    <w:p w:rsidR="007A5835" w:rsidRPr="003C2FEA" w:rsidRDefault="007A5835" w:rsidP="007A5835">
      <w:pPr>
        <w:ind w:left="-34" w:right="-4"/>
        <w:jc w:val="center"/>
        <w:rPr>
          <w:rFonts w:ascii="Verdana" w:hAnsi="Verdana"/>
          <w:bCs/>
          <w:i/>
          <w:iCs/>
        </w:rPr>
      </w:pPr>
      <w:r w:rsidRPr="003C2FEA">
        <w:rPr>
          <w:rFonts w:ascii="Verdana" w:hAnsi="Verdana"/>
          <w:bCs/>
          <w:i/>
          <w:iCs/>
        </w:rPr>
        <w:t>(Presented by ATNS)</w:t>
      </w:r>
    </w:p>
    <w:p w:rsidR="007A5835" w:rsidRPr="003C2FEA" w:rsidRDefault="007A5835" w:rsidP="007A5835">
      <w:pPr>
        <w:ind w:left="-34" w:right="-4"/>
        <w:jc w:val="center"/>
        <w:rPr>
          <w:rFonts w:ascii="Verdana" w:hAnsi="Verdana"/>
          <w:bCs/>
          <w:i/>
          <w:iCs/>
        </w:rPr>
      </w:pPr>
    </w:p>
    <w:tbl>
      <w:tblPr>
        <w:tblW w:w="72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tblGrid>
      <w:tr w:rsidR="007A5835" w:rsidRPr="003C2FEA" w:rsidTr="006E22B0">
        <w:tc>
          <w:tcPr>
            <w:tcW w:w="7290" w:type="dxa"/>
          </w:tcPr>
          <w:p w:rsidR="007A5835" w:rsidRPr="003C2FEA" w:rsidRDefault="007A5835" w:rsidP="00FE01C6">
            <w:pPr>
              <w:spacing w:before="240" w:after="240"/>
              <w:ind w:right="-4"/>
              <w:jc w:val="center"/>
              <w:rPr>
                <w:rFonts w:ascii="Verdana" w:hAnsi="Verdana"/>
                <w:b/>
                <w:bCs/>
                <w:iCs/>
              </w:rPr>
            </w:pPr>
            <w:r w:rsidRPr="003C2FEA">
              <w:rPr>
                <w:rFonts w:ascii="Verdana" w:hAnsi="Verdana"/>
                <w:b/>
                <w:bCs/>
                <w:iCs/>
              </w:rPr>
              <w:t>SUMMARY</w:t>
            </w:r>
          </w:p>
          <w:p w:rsidR="00145451" w:rsidRPr="003C2FEA" w:rsidRDefault="007A5835" w:rsidP="001E5E0D">
            <w:pPr>
              <w:ind w:left="165" w:right="561"/>
              <w:jc w:val="both"/>
              <w:rPr>
                <w:rFonts w:ascii="Verdana" w:hAnsi="Verdana"/>
                <w:lang w:val="en-GB"/>
              </w:rPr>
            </w:pPr>
            <w:r w:rsidRPr="003C2FEA">
              <w:rPr>
                <w:rFonts w:ascii="Verdana" w:hAnsi="Verdana"/>
                <w:lang w:val="en-GB"/>
              </w:rPr>
              <w:t xml:space="preserve">This working paper discusses </w:t>
            </w:r>
            <w:r w:rsidR="00DA6A07">
              <w:rPr>
                <w:rFonts w:ascii="Verdana" w:hAnsi="Verdana"/>
                <w:lang w:val="en-GB"/>
              </w:rPr>
              <w:t>the progress made to date in respect of the upgrade of the SADC VSAT Network and</w:t>
            </w:r>
            <w:r w:rsidR="006E22B0">
              <w:rPr>
                <w:rFonts w:ascii="Verdana" w:hAnsi="Verdana"/>
                <w:lang w:val="en-GB"/>
              </w:rPr>
              <w:t xml:space="preserve"> certain implications that have been identi</w:t>
            </w:r>
            <w:r w:rsidR="00DA6A07">
              <w:rPr>
                <w:rFonts w:ascii="Verdana" w:hAnsi="Verdana"/>
                <w:lang w:val="en-GB"/>
              </w:rPr>
              <w:t>fied</w:t>
            </w:r>
            <w:r w:rsidRPr="003C2FEA">
              <w:rPr>
                <w:rFonts w:ascii="Verdana" w:hAnsi="Verdana"/>
                <w:lang w:val="en-GB"/>
              </w:rPr>
              <w:t>.</w:t>
            </w:r>
            <w:r w:rsidR="001E5E0D" w:rsidRPr="003C2FEA">
              <w:rPr>
                <w:rFonts w:ascii="Verdana" w:hAnsi="Verdana"/>
                <w:lang w:val="en-GB"/>
              </w:rPr>
              <w:t xml:space="preserve"> </w:t>
            </w:r>
          </w:p>
        </w:tc>
      </w:tr>
      <w:tr w:rsidR="007A5835" w:rsidRPr="003C2FEA" w:rsidTr="006E22B0">
        <w:tc>
          <w:tcPr>
            <w:tcW w:w="7290" w:type="dxa"/>
          </w:tcPr>
          <w:p w:rsidR="007A5835" w:rsidRPr="003C2FEA" w:rsidRDefault="007A5835" w:rsidP="00A63EDB">
            <w:pPr>
              <w:spacing w:before="240"/>
              <w:jc w:val="both"/>
              <w:rPr>
                <w:rFonts w:ascii="Verdana" w:hAnsi="Verdana"/>
                <w:b/>
                <w:bCs/>
                <w:lang w:val="en-GB"/>
              </w:rPr>
            </w:pPr>
            <w:r w:rsidRPr="003C2FEA">
              <w:rPr>
                <w:rFonts w:ascii="Verdana" w:hAnsi="Verdana"/>
                <w:b/>
                <w:bCs/>
                <w:lang w:val="en-GB"/>
              </w:rPr>
              <w:t>References:</w:t>
            </w:r>
          </w:p>
          <w:p w:rsidR="007A5835" w:rsidRPr="003C2FEA" w:rsidRDefault="003C2FEA" w:rsidP="002654F0">
            <w:pPr>
              <w:pStyle w:val="ListParagraph"/>
              <w:numPr>
                <w:ilvl w:val="0"/>
                <w:numId w:val="3"/>
              </w:numPr>
              <w:spacing w:before="240" w:after="240"/>
              <w:ind w:left="448" w:right="-4" w:hanging="425"/>
              <w:rPr>
                <w:b/>
                <w:bCs/>
                <w:iCs/>
              </w:rPr>
            </w:pPr>
            <w:r w:rsidRPr="003C2FEA">
              <w:rPr>
                <w:bCs/>
                <w:iCs/>
              </w:rPr>
              <w:t>Report of the 1</w:t>
            </w:r>
            <w:r w:rsidR="00E909B4">
              <w:rPr>
                <w:bCs/>
                <w:iCs/>
              </w:rPr>
              <w:t>2</w:t>
            </w:r>
            <w:r w:rsidRPr="003C2FEA">
              <w:rPr>
                <w:bCs/>
                <w:iCs/>
                <w:vertAlign w:val="superscript"/>
              </w:rPr>
              <w:t>th</w:t>
            </w:r>
            <w:r w:rsidRPr="003C2FEA">
              <w:rPr>
                <w:bCs/>
                <w:iCs/>
              </w:rPr>
              <w:t xml:space="preserve"> SADC Supervisory Board meeting</w:t>
            </w:r>
          </w:p>
        </w:tc>
      </w:tr>
    </w:tbl>
    <w:p w:rsidR="007A5835" w:rsidRDefault="007A5835" w:rsidP="0020481C">
      <w:pPr>
        <w:pStyle w:val="ListParagraph"/>
        <w:spacing w:after="0" w:line="240" w:lineRule="auto"/>
        <w:ind w:left="1069"/>
        <w:jc w:val="both"/>
      </w:pPr>
    </w:p>
    <w:p w:rsidR="00C41AAD" w:rsidRPr="003C2FEA" w:rsidRDefault="00C41AAD" w:rsidP="0020481C">
      <w:pPr>
        <w:pStyle w:val="ListParagraph"/>
        <w:spacing w:after="0" w:line="240" w:lineRule="auto"/>
        <w:ind w:left="1069"/>
        <w:jc w:val="both"/>
      </w:pPr>
    </w:p>
    <w:p w:rsidR="00BD5C01" w:rsidRPr="003C2FEA" w:rsidRDefault="00BD5C01" w:rsidP="0020481C">
      <w:pPr>
        <w:pStyle w:val="ListParagraph"/>
        <w:spacing w:after="0" w:line="240" w:lineRule="auto"/>
        <w:ind w:left="1069"/>
        <w:jc w:val="both"/>
      </w:pPr>
    </w:p>
    <w:p w:rsidR="003155C4" w:rsidRPr="003C2FEA" w:rsidRDefault="003155C4" w:rsidP="00EC65D2">
      <w:pPr>
        <w:pStyle w:val="ListParagraph"/>
        <w:numPr>
          <w:ilvl w:val="0"/>
          <w:numId w:val="1"/>
        </w:numPr>
        <w:spacing w:after="0"/>
        <w:ind w:left="993" w:hanging="709"/>
        <w:jc w:val="both"/>
        <w:rPr>
          <w:b/>
        </w:rPr>
      </w:pPr>
      <w:r w:rsidRPr="003C2FEA">
        <w:rPr>
          <w:b/>
        </w:rPr>
        <w:t>Background</w:t>
      </w:r>
    </w:p>
    <w:p w:rsidR="003155C4" w:rsidRPr="003C2FEA" w:rsidRDefault="003155C4" w:rsidP="00EC65D2">
      <w:pPr>
        <w:pStyle w:val="ListParagraph"/>
        <w:spacing w:after="0"/>
        <w:ind w:left="993" w:hanging="709"/>
        <w:jc w:val="both"/>
      </w:pPr>
    </w:p>
    <w:p w:rsidR="00913441" w:rsidRDefault="0099144D" w:rsidP="00355695">
      <w:pPr>
        <w:pStyle w:val="ListParagraph"/>
        <w:numPr>
          <w:ilvl w:val="1"/>
          <w:numId w:val="1"/>
        </w:numPr>
        <w:spacing w:after="0"/>
        <w:ind w:left="990" w:hanging="990"/>
        <w:jc w:val="both"/>
      </w:pPr>
      <w:r>
        <w:t>At the 12</w:t>
      </w:r>
      <w:r w:rsidR="00913441" w:rsidRPr="00EC65D2">
        <w:rPr>
          <w:vertAlign w:val="superscript"/>
        </w:rPr>
        <w:t>th</w:t>
      </w:r>
      <w:r w:rsidR="00913441">
        <w:t xml:space="preserve"> SADC </w:t>
      </w:r>
      <w:r w:rsidR="00913441" w:rsidRPr="00EC65D2">
        <w:t xml:space="preserve">Supervisory Board meeting </w:t>
      </w:r>
      <w:r w:rsidR="00913441">
        <w:t xml:space="preserve">it was agreed that the state of art ND Satcom MF-TDMA technology will be used for the network upgrade. The equipment </w:t>
      </w:r>
      <w:r w:rsidR="00366719">
        <w:t>is</w:t>
      </w:r>
      <w:r w:rsidR="00913441">
        <w:t xml:space="preserve"> capable of providing connectivity for existing legacy application as  well as the planned ICAO IP based applications e.g. AMHS.</w:t>
      </w:r>
    </w:p>
    <w:p w:rsidR="00913441" w:rsidRDefault="00913441" w:rsidP="00355695">
      <w:pPr>
        <w:pStyle w:val="ListParagraph"/>
        <w:spacing w:after="0"/>
        <w:ind w:left="990"/>
        <w:jc w:val="both"/>
      </w:pPr>
    </w:p>
    <w:p w:rsidR="00405152" w:rsidRDefault="00405152" w:rsidP="00355695">
      <w:pPr>
        <w:pStyle w:val="ListParagraph"/>
        <w:numPr>
          <w:ilvl w:val="1"/>
          <w:numId w:val="1"/>
        </w:numPr>
        <w:spacing w:after="0"/>
        <w:ind w:left="993" w:hanging="993"/>
        <w:jc w:val="both"/>
      </w:pPr>
      <w:r>
        <w:t xml:space="preserve">The SADC VSAT2 &amp; NAFISAT upgrade project </w:t>
      </w:r>
      <w:r w:rsidR="00C446BF">
        <w:t>were</w:t>
      </w:r>
      <w:r>
        <w:t xml:space="preserve"> split in two parts:</w:t>
      </w:r>
    </w:p>
    <w:p w:rsidR="00EC65D2" w:rsidRDefault="00EC65D2" w:rsidP="00EC65D2">
      <w:pPr>
        <w:pStyle w:val="ListParagraph"/>
        <w:spacing w:after="0"/>
        <w:ind w:left="1623" w:hanging="630"/>
        <w:jc w:val="both"/>
      </w:pPr>
    </w:p>
    <w:p w:rsidR="00405152" w:rsidRDefault="009E6875" w:rsidP="00A90D0A">
      <w:pPr>
        <w:pStyle w:val="ListParagraph"/>
        <w:spacing w:after="0"/>
        <w:ind w:left="2160" w:hanging="1170"/>
        <w:jc w:val="both"/>
      </w:pPr>
      <w:r>
        <w:t>Phase</w:t>
      </w:r>
      <w:r w:rsidR="00405152">
        <w:t xml:space="preserve"> 1: </w:t>
      </w:r>
      <w:r w:rsidR="00EC65D2">
        <w:tab/>
      </w:r>
      <w:r w:rsidR="00A90D0A">
        <w:t>Include</w:t>
      </w:r>
      <w:r w:rsidR="00C446BF">
        <w:t>d</w:t>
      </w:r>
      <w:r w:rsidR="00405152">
        <w:t xml:space="preserve"> the equipment acquisition of the SkyWAN IDU7000 MF-TDMA technology platform from ND Satcom; and</w:t>
      </w:r>
    </w:p>
    <w:p w:rsidR="00EC65D2" w:rsidRDefault="00EC65D2" w:rsidP="00EC65D2">
      <w:pPr>
        <w:pStyle w:val="ListParagraph"/>
        <w:spacing w:after="0"/>
        <w:ind w:left="1890" w:hanging="897"/>
        <w:jc w:val="both"/>
      </w:pPr>
    </w:p>
    <w:p w:rsidR="008E6F73" w:rsidRDefault="009E6875" w:rsidP="00A90D0A">
      <w:pPr>
        <w:pStyle w:val="ListParagraph"/>
        <w:spacing w:after="0"/>
        <w:ind w:left="2160" w:hanging="1167"/>
        <w:jc w:val="both"/>
      </w:pPr>
      <w:r>
        <w:t>Phase</w:t>
      </w:r>
      <w:r w:rsidR="00405152">
        <w:t xml:space="preserve"> 2: </w:t>
      </w:r>
      <w:r w:rsidR="00A90D0A">
        <w:tab/>
      </w:r>
      <w:r w:rsidR="00405152">
        <w:t xml:space="preserve">The appointment of a local contractor for the </w:t>
      </w:r>
    </w:p>
    <w:p w:rsidR="008E6F73" w:rsidRDefault="0062148A" w:rsidP="00355695">
      <w:pPr>
        <w:pStyle w:val="ListParagraph"/>
        <w:numPr>
          <w:ilvl w:val="0"/>
          <w:numId w:val="3"/>
        </w:numPr>
        <w:spacing w:after="0"/>
        <w:ind w:left="2835" w:hanging="425"/>
        <w:jc w:val="both"/>
      </w:pPr>
      <w:r>
        <w:t>D</w:t>
      </w:r>
      <w:r w:rsidR="00405152">
        <w:t>elivery</w:t>
      </w:r>
      <w:r>
        <w:t>;</w:t>
      </w:r>
      <w:r w:rsidR="00405152">
        <w:t xml:space="preserve"> </w:t>
      </w:r>
    </w:p>
    <w:p w:rsidR="008E6F73" w:rsidRDefault="00A90D0A" w:rsidP="00355695">
      <w:pPr>
        <w:pStyle w:val="ListParagraph"/>
        <w:numPr>
          <w:ilvl w:val="0"/>
          <w:numId w:val="3"/>
        </w:numPr>
        <w:spacing w:after="0"/>
        <w:ind w:left="2835" w:hanging="425"/>
        <w:jc w:val="both"/>
      </w:pPr>
      <w:r>
        <w:t xml:space="preserve">conducting </w:t>
      </w:r>
      <w:r w:rsidR="00E16D04">
        <w:t xml:space="preserve">of </w:t>
      </w:r>
      <w:r>
        <w:t>site surveys</w:t>
      </w:r>
      <w:r w:rsidR="0062148A">
        <w:t>;</w:t>
      </w:r>
    </w:p>
    <w:p w:rsidR="008E6F73" w:rsidRDefault="00405152" w:rsidP="00355695">
      <w:pPr>
        <w:pStyle w:val="ListParagraph"/>
        <w:numPr>
          <w:ilvl w:val="0"/>
          <w:numId w:val="3"/>
        </w:numPr>
        <w:spacing w:after="0"/>
        <w:ind w:left="2835" w:hanging="425"/>
        <w:jc w:val="both"/>
      </w:pPr>
      <w:r>
        <w:t>drafting of the site upgrade specifications</w:t>
      </w:r>
      <w:r w:rsidR="0062148A">
        <w:t>;</w:t>
      </w:r>
    </w:p>
    <w:p w:rsidR="008E6F73" w:rsidRDefault="00A90D0A" w:rsidP="00355695">
      <w:pPr>
        <w:pStyle w:val="ListParagraph"/>
        <w:numPr>
          <w:ilvl w:val="0"/>
          <w:numId w:val="3"/>
        </w:numPr>
        <w:spacing w:after="0"/>
        <w:ind w:left="2835" w:hanging="425"/>
        <w:jc w:val="both"/>
      </w:pPr>
      <w:r>
        <w:t>physical i</w:t>
      </w:r>
      <w:r w:rsidR="00405152">
        <w:t>nstallation of the upgrade equipment</w:t>
      </w:r>
      <w:r w:rsidR="0062148A">
        <w:t>;</w:t>
      </w:r>
      <w:r w:rsidR="00405152">
        <w:t xml:space="preserve"> and</w:t>
      </w:r>
    </w:p>
    <w:p w:rsidR="008E6F73" w:rsidRDefault="00405152" w:rsidP="00355695">
      <w:pPr>
        <w:pStyle w:val="ListParagraph"/>
        <w:numPr>
          <w:ilvl w:val="0"/>
          <w:numId w:val="3"/>
        </w:numPr>
        <w:spacing w:after="0"/>
        <w:ind w:left="2835" w:hanging="425"/>
        <w:jc w:val="both"/>
      </w:pPr>
      <w:r>
        <w:t>refurbishment of equipment</w:t>
      </w:r>
      <w:r w:rsidR="00E16D04">
        <w:t xml:space="preserve"> </w:t>
      </w:r>
      <w:r w:rsidR="008E6F73">
        <w:t>(</w:t>
      </w:r>
      <w:r w:rsidR="00E16D04">
        <w:t>not part of the upgrade</w:t>
      </w:r>
      <w:r w:rsidR="008E6F73">
        <w:t>)</w:t>
      </w:r>
    </w:p>
    <w:p w:rsidR="008E6F73" w:rsidRDefault="008E6F73" w:rsidP="00355695">
      <w:pPr>
        <w:pStyle w:val="ListParagraph"/>
        <w:spacing w:after="0"/>
        <w:ind w:left="2127"/>
        <w:jc w:val="both"/>
      </w:pPr>
    </w:p>
    <w:p w:rsidR="0062148A" w:rsidRDefault="008E6F73" w:rsidP="00355695">
      <w:pPr>
        <w:pStyle w:val="ListParagraph"/>
        <w:spacing w:after="0"/>
        <w:ind w:left="2127"/>
        <w:jc w:val="both"/>
      </w:pPr>
      <w:r>
        <w:t xml:space="preserve">ATNS participated </w:t>
      </w:r>
      <w:r w:rsidR="0062148A">
        <w:t>and</w:t>
      </w:r>
      <w:r>
        <w:t xml:space="preserve"> </w:t>
      </w:r>
      <w:r w:rsidR="0062148A">
        <w:t>m</w:t>
      </w:r>
      <w:r>
        <w:t>anage</w:t>
      </w:r>
      <w:r w:rsidR="0062148A">
        <w:t>d</w:t>
      </w:r>
      <w:r>
        <w:t xml:space="preserve"> the above tasks</w:t>
      </w:r>
      <w:r w:rsidR="0062148A">
        <w:t xml:space="preserve"> and was </w:t>
      </w:r>
      <w:r w:rsidR="00366719">
        <w:t xml:space="preserve">further </w:t>
      </w:r>
      <w:r w:rsidR="0062148A">
        <w:t>responsible for:</w:t>
      </w:r>
    </w:p>
    <w:p w:rsidR="0062148A" w:rsidRDefault="008E6F73" w:rsidP="00355695">
      <w:pPr>
        <w:pStyle w:val="ListParagraph"/>
        <w:numPr>
          <w:ilvl w:val="0"/>
          <w:numId w:val="8"/>
        </w:numPr>
        <w:spacing w:after="0"/>
        <w:jc w:val="both"/>
      </w:pPr>
      <w:r>
        <w:t>f</w:t>
      </w:r>
      <w:r w:rsidR="00E16D04">
        <w:t xml:space="preserve">inal </w:t>
      </w:r>
      <w:r w:rsidR="00405152">
        <w:t>setting-up</w:t>
      </w:r>
      <w:r w:rsidR="0062148A">
        <w:t>;</w:t>
      </w:r>
    </w:p>
    <w:p w:rsidR="0062148A" w:rsidRDefault="0062148A" w:rsidP="00355695">
      <w:pPr>
        <w:pStyle w:val="ListParagraph"/>
        <w:numPr>
          <w:ilvl w:val="0"/>
          <w:numId w:val="8"/>
        </w:numPr>
        <w:spacing w:after="0"/>
        <w:jc w:val="both"/>
      </w:pPr>
      <w:r>
        <w:t>c</w:t>
      </w:r>
      <w:r w:rsidR="00405152">
        <w:t>ommissioning of the terminal equipment</w:t>
      </w:r>
      <w:r>
        <w:t>;</w:t>
      </w:r>
    </w:p>
    <w:p w:rsidR="0062148A" w:rsidRDefault="00405152" w:rsidP="00355695">
      <w:pPr>
        <w:pStyle w:val="ListParagraph"/>
        <w:numPr>
          <w:ilvl w:val="0"/>
          <w:numId w:val="8"/>
        </w:numPr>
        <w:spacing w:after="0"/>
        <w:jc w:val="both"/>
      </w:pPr>
      <w:r>
        <w:lastRenderedPageBreak/>
        <w:t>transfer of operation to the upgraded network</w:t>
      </w:r>
      <w:r w:rsidR="0062148A">
        <w:t>;</w:t>
      </w:r>
      <w:r w:rsidR="00E16D04">
        <w:t xml:space="preserve"> </w:t>
      </w:r>
      <w:r w:rsidR="0062148A">
        <w:t>and</w:t>
      </w:r>
    </w:p>
    <w:p w:rsidR="00405152" w:rsidRDefault="008E6F73" w:rsidP="00355695">
      <w:pPr>
        <w:pStyle w:val="ListParagraph"/>
        <w:numPr>
          <w:ilvl w:val="0"/>
          <w:numId w:val="8"/>
        </w:numPr>
        <w:spacing w:after="0"/>
        <w:jc w:val="both"/>
      </w:pPr>
      <w:r>
        <w:t>training of technical staff from each country</w:t>
      </w:r>
      <w:r w:rsidR="00405152">
        <w:t>.</w:t>
      </w:r>
    </w:p>
    <w:p w:rsidR="00C42F89" w:rsidRDefault="00C42F89" w:rsidP="00355695">
      <w:pPr>
        <w:spacing w:after="0"/>
        <w:ind w:left="993"/>
        <w:jc w:val="both"/>
      </w:pPr>
    </w:p>
    <w:p w:rsidR="00C42F89" w:rsidRPr="00233E2B" w:rsidRDefault="00C42F89" w:rsidP="00355695">
      <w:pPr>
        <w:spacing w:after="0"/>
        <w:ind w:left="993"/>
        <w:jc w:val="both"/>
      </w:pPr>
      <w:r w:rsidRPr="00355695">
        <w:rPr>
          <w:rFonts w:ascii="Verdana" w:hAnsi="Verdana"/>
        </w:rPr>
        <w:t xml:space="preserve">Phase 1 of the project </w:t>
      </w:r>
      <w:r>
        <w:rPr>
          <w:rFonts w:ascii="Verdana" w:hAnsi="Verdana"/>
        </w:rPr>
        <w:t xml:space="preserve">was </w:t>
      </w:r>
      <w:r w:rsidR="006B2D07">
        <w:rPr>
          <w:rFonts w:ascii="Verdana" w:hAnsi="Verdana"/>
        </w:rPr>
        <w:t xml:space="preserve">largely </w:t>
      </w:r>
      <w:r>
        <w:rPr>
          <w:rFonts w:ascii="Verdana" w:hAnsi="Verdana"/>
        </w:rPr>
        <w:t>on time but c</w:t>
      </w:r>
      <w:r w:rsidRPr="00C42F89">
        <w:rPr>
          <w:rFonts w:ascii="Verdana" w:hAnsi="Verdana"/>
        </w:rPr>
        <w:t xml:space="preserve">hallenges were experienced in the </w:t>
      </w:r>
      <w:r>
        <w:rPr>
          <w:rFonts w:ascii="Verdana" w:hAnsi="Verdana"/>
        </w:rPr>
        <w:t xml:space="preserve">Phase 2 of the </w:t>
      </w:r>
      <w:r w:rsidRPr="00C42F89">
        <w:rPr>
          <w:rFonts w:ascii="Verdana" w:hAnsi="Verdana"/>
        </w:rPr>
        <w:t>upgrade project, which have resulted in delays of the initially committed commissioning timeframe.  However the current network continued to provide safe and reliable services to the users.</w:t>
      </w:r>
    </w:p>
    <w:p w:rsidR="00405152" w:rsidRDefault="00405152" w:rsidP="00EC65D2">
      <w:pPr>
        <w:pStyle w:val="ListParagraph"/>
        <w:spacing w:after="0"/>
        <w:ind w:left="990" w:hanging="630"/>
        <w:jc w:val="both"/>
      </w:pPr>
    </w:p>
    <w:p w:rsidR="008E6F95" w:rsidRDefault="003155C4" w:rsidP="00C446BF">
      <w:pPr>
        <w:pStyle w:val="ListParagraph"/>
        <w:numPr>
          <w:ilvl w:val="0"/>
          <w:numId w:val="1"/>
        </w:numPr>
        <w:spacing w:after="0"/>
        <w:ind w:left="993" w:hanging="993"/>
        <w:jc w:val="both"/>
        <w:rPr>
          <w:b/>
        </w:rPr>
      </w:pPr>
      <w:r w:rsidRPr="003C2FEA">
        <w:rPr>
          <w:b/>
        </w:rPr>
        <w:t>Discussion</w:t>
      </w:r>
    </w:p>
    <w:p w:rsidR="008E6F95" w:rsidRPr="008E6F95" w:rsidRDefault="008E6F95" w:rsidP="00C446BF">
      <w:pPr>
        <w:pStyle w:val="ListParagraph"/>
        <w:spacing w:after="0"/>
        <w:ind w:left="993" w:hanging="993"/>
        <w:jc w:val="both"/>
        <w:rPr>
          <w:b/>
        </w:rPr>
      </w:pPr>
    </w:p>
    <w:p w:rsidR="005C4DDC" w:rsidRPr="00355695" w:rsidRDefault="005C4DDC" w:rsidP="00C446BF">
      <w:pPr>
        <w:pStyle w:val="ListParagraph"/>
        <w:numPr>
          <w:ilvl w:val="1"/>
          <w:numId w:val="1"/>
        </w:numPr>
        <w:spacing w:after="0"/>
        <w:ind w:left="993" w:hanging="993"/>
        <w:jc w:val="both"/>
        <w:rPr>
          <w:b/>
        </w:rPr>
      </w:pPr>
      <w:r w:rsidRPr="00355695">
        <w:rPr>
          <w:b/>
        </w:rPr>
        <w:t>Implementation Schedule Timeline</w:t>
      </w:r>
    </w:p>
    <w:p w:rsidR="005C4DDC" w:rsidRDefault="005C4DDC" w:rsidP="00355695">
      <w:pPr>
        <w:pStyle w:val="ListParagraph"/>
        <w:spacing w:after="0"/>
        <w:ind w:left="993" w:hanging="993"/>
        <w:jc w:val="both"/>
      </w:pPr>
    </w:p>
    <w:p w:rsidR="000024D7" w:rsidRDefault="005C4DDC" w:rsidP="00355695">
      <w:pPr>
        <w:pStyle w:val="ListParagraph"/>
        <w:numPr>
          <w:ilvl w:val="2"/>
          <w:numId w:val="1"/>
        </w:numPr>
        <w:spacing w:after="0"/>
        <w:ind w:left="993" w:hanging="993"/>
        <w:jc w:val="both"/>
      </w:pPr>
      <w:r>
        <w:t xml:space="preserve">The </w:t>
      </w:r>
      <w:r w:rsidR="00C42F89">
        <w:t xml:space="preserve">initial timeline for the implementation of the upgrade is shown in </w:t>
      </w:r>
      <w:r w:rsidR="00233E2B">
        <w:t xml:space="preserve">Diagram A in </w:t>
      </w:r>
      <w:r w:rsidR="00C42F89">
        <w:t xml:space="preserve">Attachment A, </w:t>
      </w:r>
      <w:r w:rsidR="000024D7">
        <w:t>which was presented to the pervious SADC Supervisory Board.  In summary it indicated the high level phases of the project with completion of</w:t>
      </w:r>
      <w:r w:rsidR="002F2327">
        <w:t xml:space="preserve"> the</w:t>
      </w:r>
      <w:r w:rsidR="000024D7">
        <w:t>:</w:t>
      </w:r>
    </w:p>
    <w:p w:rsidR="000024D7" w:rsidRDefault="000024D7" w:rsidP="00355695">
      <w:pPr>
        <w:pStyle w:val="ListParagraph"/>
        <w:spacing w:after="0"/>
        <w:ind w:left="993"/>
        <w:jc w:val="both"/>
      </w:pPr>
    </w:p>
    <w:p w:rsidR="005C4DDC" w:rsidRDefault="002F2327" w:rsidP="00355695">
      <w:pPr>
        <w:pStyle w:val="ListParagraph"/>
        <w:numPr>
          <w:ilvl w:val="0"/>
          <w:numId w:val="9"/>
        </w:numPr>
        <w:spacing w:after="0"/>
        <w:jc w:val="both"/>
      </w:pPr>
      <w:r>
        <w:t>E</w:t>
      </w:r>
      <w:r w:rsidR="000024D7">
        <w:t>quipment manufacture by 26 February 2016;</w:t>
      </w:r>
    </w:p>
    <w:p w:rsidR="000024D7" w:rsidRDefault="00233E2B" w:rsidP="00355695">
      <w:pPr>
        <w:pStyle w:val="ListParagraph"/>
        <w:numPr>
          <w:ilvl w:val="0"/>
          <w:numId w:val="9"/>
        </w:numPr>
        <w:spacing w:after="0"/>
        <w:jc w:val="both"/>
      </w:pPr>
      <w:r>
        <w:t xml:space="preserve">Completion of </w:t>
      </w:r>
      <w:r w:rsidR="002F2327">
        <w:t xml:space="preserve">Installation by </w:t>
      </w:r>
      <w:r w:rsidR="00A66168">
        <w:t>September</w:t>
      </w:r>
      <w:r w:rsidR="00366719">
        <w:t xml:space="preserve"> 2016</w:t>
      </w:r>
    </w:p>
    <w:p w:rsidR="00A66168" w:rsidRDefault="00A66168" w:rsidP="00355695">
      <w:pPr>
        <w:pStyle w:val="ListParagraph"/>
        <w:spacing w:after="0"/>
        <w:ind w:left="993"/>
        <w:jc w:val="both"/>
      </w:pPr>
    </w:p>
    <w:p w:rsidR="005C4DDC" w:rsidRDefault="00233E2B" w:rsidP="00355695">
      <w:pPr>
        <w:pStyle w:val="ListParagraph"/>
        <w:spacing w:after="0"/>
        <w:ind w:left="993"/>
        <w:jc w:val="both"/>
      </w:pPr>
      <w:r>
        <w:t>Diagram B (</w:t>
      </w:r>
      <w:r w:rsidR="00A66168">
        <w:t>Attachment A</w:t>
      </w:r>
      <w:r>
        <w:t>)</w:t>
      </w:r>
      <w:r w:rsidR="00A66168">
        <w:t>, shows the actual implementation time, which by comparison shows the</w:t>
      </w:r>
      <w:r w:rsidR="00366719">
        <w:t xml:space="preserve"> delays for the</w:t>
      </w:r>
      <w:r w:rsidR="00A66168">
        <w:t>:</w:t>
      </w:r>
    </w:p>
    <w:p w:rsidR="00A66168" w:rsidRDefault="00A66168" w:rsidP="00A66168">
      <w:pPr>
        <w:pStyle w:val="ListParagraph"/>
        <w:spacing w:after="0"/>
        <w:ind w:left="993"/>
        <w:jc w:val="both"/>
      </w:pPr>
    </w:p>
    <w:p w:rsidR="00A66168" w:rsidRDefault="00A66168" w:rsidP="00A66168">
      <w:pPr>
        <w:pStyle w:val="ListParagraph"/>
        <w:numPr>
          <w:ilvl w:val="0"/>
          <w:numId w:val="9"/>
        </w:numPr>
        <w:spacing w:after="0"/>
        <w:jc w:val="both"/>
      </w:pPr>
      <w:r>
        <w:t>Equipment manufacture by 11 M</w:t>
      </w:r>
      <w:r w:rsidR="00366719">
        <w:t>arch 2016: 10 working days; and</w:t>
      </w:r>
    </w:p>
    <w:p w:rsidR="00A66168" w:rsidRDefault="00233E2B" w:rsidP="00A66168">
      <w:pPr>
        <w:pStyle w:val="ListParagraph"/>
        <w:numPr>
          <w:ilvl w:val="0"/>
          <w:numId w:val="9"/>
        </w:numPr>
        <w:spacing w:after="0"/>
        <w:jc w:val="both"/>
      </w:pPr>
      <w:r>
        <w:t xml:space="preserve">Completion of </w:t>
      </w:r>
      <w:r w:rsidR="00A66168">
        <w:t xml:space="preserve">Installation by 16 March 2017: </w:t>
      </w:r>
      <w:r w:rsidR="00D17905">
        <w:t>143 working days.</w:t>
      </w:r>
    </w:p>
    <w:p w:rsidR="00A66168" w:rsidRDefault="00A66168" w:rsidP="00355695">
      <w:pPr>
        <w:pStyle w:val="ListParagraph"/>
        <w:spacing w:after="0"/>
        <w:ind w:left="993"/>
        <w:jc w:val="both"/>
      </w:pPr>
    </w:p>
    <w:p w:rsidR="006C2843" w:rsidRDefault="00153D57" w:rsidP="00355695">
      <w:pPr>
        <w:pStyle w:val="ListParagraph"/>
        <w:numPr>
          <w:ilvl w:val="2"/>
          <w:numId w:val="1"/>
        </w:numPr>
        <w:spacing w:after="0"/>
        <w:ind w:left="993" w:hanging="993"/>
        <w:jc w:val="both"/>
      </w:pPr>
      <w:r>
        <w:t>C</w:t>
      </w:r>
      <w:r w:rsidR="007B5380">
        <w:t>onsidering</w:t>
      </w:r>
      <w:r w:rsidR="00233E2B">
        <w:t xml:space="preserve"> the</w:t>
      </w:r>
      <w:r w:rsidR="00C41AAD">
        <w:t xml:space="preserve"> </w:t>
      </w:r>
      <w:r>
        <w:t>delays it must be stated</w:t>
      </w:r>
      <w:r w:rsidR="00233E2B">
        <w:t xml:space="preserve"> that SADC VSAT 2 and NAFISAT needed to be upgraded at the same time because of the interconnectivity </w:t>
      </w:r>
      <w:r w:rsidR="003D726B">
        <w:t xml:space="preserve">and the utilization of </w:t>
      </w:r>
      <w:r w:rsidR="00366719">
        <w:t xml:space="preserve">the </w:t>
      </w:r>
      <w:r w:rsidR="00C41AAD">
        <w:t xml:space="preserve">main </w:t>
      </w:r>
      <w:r w:rsidR="0025637B">
        <w:t>management centre in Johannesburg and the standby in Entebbe.</w:t>
      </w:r>
      <w:r w:rsidR="00C41AAD">
        <w:t xml:space="preserve"> </w:t>
      </w:r>
      <w:r w:rsidR="00CB7682">
        <w:t xml:space="preserve"> Secondly</w:t>
      </w:r>
      <w:r w:rsidR="009B0A81">
        <w:t>,</w:t>
      </w:r>
      <w:r w:rsidR="00CB7682">
        <w:t xml:space="preserve"> to prevent the need t</w:t>
      </w:r>
      <w:r w:rsidR="00552092">
        <w:t>o</w:t>
      </w:r>
      <w:r w:rsidR="00CB7682">
        <w:t xml:space="preserve"> ret</w:t>
      </w:r>
      <w:r w:rsidR="00552092">
        <w:t>ain</w:t>
      </w:r>
      <w:r w:rsidR="00CB7682">
        <w:t xml:space="preserve"> </w:t>
      </w:r>
      <w:r w:rsidR="00552092">
        <w:t>any obsolete equipment the objective was to transfer all the sites at the same time.</w:t>
      </w:r>
      <w:r w:rsidR="00CB7682">
        <w:t xml:space="preserve">  Thirdly</w:t>
      </w:r>
      <w:r w:rsidR="009B0A81">
        <w:t>,</w:t>
      </w:r>
      <w:r w:rsidR="00C41AAD">
        <w:t xml:space="preserve"> it was also assumed that all SADC VSAT2 and NAFISAT sites will be accessible to carry out the </w:t>
      </w:r>
      <w:r w:rsidR="00552092">
        <w:t xml:space="preserve">site surveys, delivery and upgrade </w:t>
      </w:r>
      <w:r w:rsidR="00C41AAD">
        <w:t xml:space="preserve">installations.  </w:t>
      </w:r>
      <w:r w:rsidR="009B0A81">
        <w:t>To provide an overall picture of the project and delays experienced, t</w:t>
      </w:r>
      <w:r w:rsidR="00C41AAD">
        <w:t>his report covers the upgrade of both networks.</w:t>
      </w:r>
      <w:r w:rsidR="004F0797">
        <w:t xml:space="preserve"> </w:t>
      </w:r>
    </w:p>
    <w:p w:rsidR="00716F00" w:rsidRDefault="00716F00" w:rsidP="00355695">
      <w:pPr>
        <w:pStyle w:val="ListParagraph"/>
        <w:spacing w:after="0"/>
        <w:ind w:left="993" w:hanging="993"/>
        <w:jc w:val="both"/>
        <w:rPr>
          <w:b/>
        </w:rPr>
      </w:pPr>
    </w:p>
    <w:p w:rsidR="00DD1F08" w:rsidRPr="00DD1F08" w:rsidRDefault="00C42F89" w:rsidP="00355695">
      <w:pPr>
        <w:pStyle w:val="ListParagraph"/>
        <w:numPr>
          <w:ilvl w:val="1"/>
          <w:numId w:val="1"/>
        </w:numPr>
        <w:ind w:left="993" w:hanging="993"/>
        <w:jc w:val="both"/>
        <w:rPr>
          <w:b/>
        </w:rPr>
      </w:pPr>
      <w:r>
        <w:rPr>
          <w:b/>
        </w:rPr>
        <w:t>Installation and Commissioning</w:t>
      </w:r>
      <w:r w:rsidR="005C4DDC">
        <w:rPr>
          <w:b/>
        </w:rPr>
        <w:t xml:space="preserve"> Schedule</w:t>
      </w:r>
    </w:p>
    <w:p w:rsidR="00DA6A07" w:rsidRDefault="00DA6A07" w:rsidP="00C446BF">
      <w:pPr>
        <w:pStyle w:val="ListParagraph"/>
        <w:ind w:left="993" w:hanging="993"/>
        <w:jc w:val="both"/>
        <w:rPr>
          <w:b/>
        </w:rPr>
      </w:pPr>
    </w:p>
    <w:p w:rsidR="00C446BF" w:rsidRDefault="00552092" w:rsidP="00355695">
      <w:pPr>
        <w:pStyle w:val="ListParagraph"/>
        <w:ind w:left="993"/>
        <w:jc w:val="both"/>
      </w:pPr>
      <w:r>
        <w:rPr>
          <w:lang w:val="en-ZA"/>
        </w:rPr>
        <w:t>The installations work were completed during Calendar Week 10 (6 to 10 Match 2017), as shown in Attachment B</w:t>
      </w:r>
      <w:r w:rsidR="003236B1">
        <w:rPr>
          <w:lang w:val="en-ZA"/>
        </w:rPr>
        <w:t>/1</w:t>
      </w:r>
      <w:r>
        <w:rPr>
          <w:lang w:val="en-ZA"/>
        </w:rPr>
        <w:t xml:space="preserve">.  </w:t>
      </w:r>
      <w:r w:rsidR="003D726B" w:rsidRPr="003D726B">
        <w:rPr>
          <w:lang w:val="en-ZA"/>
        </w:rPr>
        <w:t>The</w:t>
      </w:r>
      <w:r w:rsidR="009D32F2">
        <w:rPr>
          <w:lang w:val="en-ZA"/>
        </w:rPr>
        <w:t>re are a number of reasons for the</w:t>
      </w:r>
      <w:r w:rsidR="003D726B" w:rsidRPr="003D726B">
        <w:rPr>
          <w:lang w:val="en-ZA"/>
        </w:rPr>
        <w:t xml:space="preserve"> delay of 143 working days</w:t>
      </w:r>
      <w:r w:rsidR="009D32F2">
        <w:rPr>
          <w:lang w:val="en-ZA"/>
        </w:rPr>
        <w:t>.</w:t>
      </w:r>
      <w:r w:rsidR="003D726B" w:rsidRPr="003D726B">
        <w:rPr>
          <w:lang w:val="en-ZA"/>
        </w:rPr>
        <w:t xml:space="preserve"> </w:t>
      </w:r>
      <w:r w:rsidR="009D32F2">
        <w:rPr>
          <w:lang w:val="en-ZA"/>
        </w:rPr>
        <w:t xml:space="preserve"> T</w:t>
      </w:r>
      <w:r w:rsidR="003D726B" w:rsidRPr="003D726B">
        <w:rPr>
          <w:lang w:val="en-ZA"/>
        </w:rPr>
        <w:t xml:space="preserve">he most </w:t>
      </w:r>
      <w:r w:rsidR="002D7006">
        <w:rPr>
          <w:lang w:val="en-ZA"/>
        </w:rPr>
        <w:t>important</w:t>
      </w:r>
      <w:r w:rsidR="002D7006" w:rsidRPr="003D726B">
        <w:rPr>
          <w:lang w:val="en-ZA"/>
        </w:rPr>
        <w:t xml:space="preserve"> </w:t>
      </w:r>
      <w:r w:rsidR="002D7006">
        <w:rPr>
          <w:lang w:val="en-ZA"/>
        </w:rPr>
        <w:t xml:space="preserve">reasons </w:t>
      </w:r>
      <w:r w:rsidR="003D726B" w:rsidRPr="003D726B">
        <w:rPr>
          <w:lang w:val="en-ZA"/>
        </w:rPr>
        <w:t>are listed below</w:t>
      </w:r>
      <w:r w:rsidR="003D726B">
        <w:t>.</w:t>
      </w:r>
    </w:p>
    <w:p w:rsidR="003D726B" w:rsidRDefault="003D726B" w:rsidP="00355695">
      <w:pPr>
        <w:pStyle w:val="ListParagraph"/>
        <w:ind w:left="993" w:hanging="993"/>
        <w:jc w:val="both"/>
      </w:pPr>
    </w:p>
    <w:p w:rsidR="00060E6D" w:rsidRPr="00355695" w:rsidRDefault="00060E6D" w:rsidP="00355695">
      <w:pPr>
        <w:pStyle w:val="ListParagraph"/>
        <w:numPr>
          <w:ilvl w:val="2"/>
          <w:numId w:val="1"/>
        </w:numPr>
        <w:ind w:left="993" w:hanging="993"/>
        <w:jc w:val="both"/>
      </w:pPr>
      <w:r w:rsidRPr="00060E6D">
        <w:rPr>
          <w:b/>
          <w:lang w:val="en-ZA"/>
        </w:rPr>
        <w:t>Access to Sana’a and Saudi Arabia</w:t>
      </w:r>
    </w:p>
    <w:p w:rsidR="00060E6D" w:rsidRPr="00355695" w:rsidRDefault="00060E6D" w:rsidP="00355695">
      <w:pPr>
        <w:ind w:left="993"/>
        <w:jc w:val="both"/>
        <w:rPr>
          <w:rFonts w:ascii="Verdana" w:hAnsi="Verdana"/>
        </w:rPr>
      </w:pPr>
      <w:r w:rsidRPr="00355695">
        <w:rPr>
          <w:rFonts w:ascii="Verdana" w:hAnsi="Verdana"/>
        </w:rPr>
        <w:t>The initial implementation schedule assumed that all sites will be accessible to do site surveys.  During the project it became clear that Sana’a and Saudi Arabia would not be installed in time.  At the NAFISAT Supervisory Board Meeting d</w:t>
      </w:r>
      <w:r w:rsidR="00366719">
        <w:rPr>
          <w:rFonts w:ascii="Verdana" w:hAnsi="Verdana"/>
        </w:rPr>
        <w:t>uring 10 to 11 October 2016, a R</w:t>
      </w:r>
      <w:r w:rsidRPr="00355695">
        <w:rPr>
          <w:rFonts w:ascii="Verdana" w:hAnsi="Verdana"/>
        </w:rPr>
        <w:t>ealistic Scenario was presented where ATNS were allowed the opportunity conduct site surveys</w:t>
      </w:r>
      <w:r w:rsidR="002D7006">
        <w:rPr>
          <w:rFonts w:ascii="Verdana" w:hAnsi="Verdana"/>
        </w:rPr>
        <w:t>,</w:t>
      </w:r>
      <w:r w:rsidRPr="00355695">
        <w:rPr>
          <w:rFonts w:ascii="Verdana" w:hAnsi="Verdana"/>
        </w:rPr>
        <w:t xml:space="preserve"> delivery </w:t>
      </w:r>
      <w:r w:rsidR="002D7006">
        <w:rPr>
          <w:rFonts w:ascii="Verdana" w:hAnsi="Verdana"/>
        </w:rPr>
        <w:t>and installation of</w:t>
      </w:r>
      <w:r w:rsidRPr="00355695">
        <w:rPr>
          <w:rFonts w:ascii="Verdana" w:hAnsi="Verdana"/>
        </w:rPr>
        <w:t xml:space="preserve"> Sana’a and Saudi Arabia by the end of February 2017.  </w:t>
      </w:r>
      <w:r w:rsidR="002D7006">
        <w:rPr>
          <w:rFonts w:ascii="Verdana" w:hAnsi="Verdana"/>
        </w:rPr>
        <w:t>It was decided that s</w:t>
      </w:r>
      <w:r w:rsidRPr="00355695">
        <w:rPr>
          <w:rFonts w:ascii="Verdana" w:hAnsi="Verdana"/>
        </w:rPr>
        <w:t>hould this not materialise ATNS will proceed with the transition of services to the upgraded network</w:t>
      </w:r>
      <w:r w:rsidR="002D7006">
        <w:rPr>
          <w:rFonts w:ascii="Verdana" w:hAnsi="Verdana"/>
        </w:rPr>
        <w:t xml:space="preserve"> at the end of February 2017.</w:t>
      </w:r>
    </w:p>
    <w:p w:rsidR="00060E6D" w:rsidRPr="00355695" w:rsidRDefault="00060E6D" w:rsidP="00355695">
      <w:pPr>
        <w:pStyle w:val="ListParagraph"/>
        <w:numPr>
          <w:ilvl w:val="2"/>
          <w:numId w:val="1"/>
        </w:numPr>
        <w:ind w:left="993" w:hanging="993"/>
        <w:jc w:val="both"/>
      </w:pPr>
      <w:r w:rsidRPr="00060E6D">
        <w:rPr>
          <w:b/>
          <w:lang w:val="en-ZA"/>
        </w:rPr>
        <w:t>Incorrect delivery of equipment</w:t>
      </w:r>
    </w:p>
    <w:p w:rsidR="00060E6D" w:rsidRPr="00355695" w:rsidRDefault="00FA1811" w:rsidP="00355695">
      <w:pPr>
        <w:ind w:left="993"/>
        <w:jc w:val="both"/>
        <w:rPr>
          <w:rFonts w:ascii="Verdana" w:hAnsi="Verdana"/>
        </w:rPr>
      </w:pPr>
      <w:r w:rsidRPr="00355695">
        <w:rPr>
          <w:rFonts w:ascii="Verdana" w:hAnsi="Verdana"/>
        </w:rPr>
        <w:t>The VSAT terminal for Somalia is situated in Nairobi, however due to an error by the shipper the upgrade equipment was delivered to Mogadishu.  The equipment could not be recovered and although the shipper accepted responsibility for all additional costs incurred, it inevitably caused delays.  ATNS had to implement a mitigation plan to minimise delays</w:t>
      </w:r>
    </w:p>
    <w:p w:rsidR="00060E6D" w:rsidRPr="00355695" w:rsidRDefault="00060E6D" w:rsidP="00355695">
      <w:pPr>
        <w:pStyle w:val="ListParagraph"/>
        <w:numPr>
          <w:ilvl w:val="2"/>
          <w:numId w:val="1"/>
        </w:numPr>
        <w:ind w:left="993" w:hanging="993"/>
        <w:jc w:val="both"/>
      </w:pPr>
      <w:r w:rsidRPr="00060E6D">
        <w:rPr>
          <w:b/>
          <w:lang w:val="en-ZA"/>
        </w:rPr>
        <w:t xml:space="preserve">Delivery time </w:t>
      </w:r>
      <w:r w:rsidR="00366719">
        <w:rPr>
          <w:b/>
          <w:lang w:val="en-ZA"/>
        </w:rPr>
        <w:t>of equipment</w:t>
      </w:r>
    </w:p>
    <w:p w:rsidR="00FA1811" w:rsidRDefault="00FA1811" w:rsidP="00355695">
      <w:pPr>
        <w:pStyle w:val="ListParagraph"/>
        <w:ind w:left="993"/>
        <w:jc w:val="both"/>
      </w:pPr>
    </w:p>
    <w:p w:rsidR="00FA1811" w:rsidRPr="00355695" w:rsidRDefault="00FA1811" w:rsidP="00355695">
      <w:pPr>
        <w:pStyle w:val="ListParagraph"/>
        <w:ind w:left="993"/>
        <w:jc w:val="both"/>
      </w:pPr>
      <w:r w:rsidRPr="00FA1811">
        <w:rPr>
          <w:lang w:val="en-ZA"/>
        </w:rPr>
        <w:t xml:space="preserve">A number of States required inspections of the equipment at the OEM, the issue of licences for importation, etc.  This caused delays in the case of the DRC and ATNS </w:t>
      </w:r>
      <w:r w:rsidR="00366719">
        <w:rPr>
          <w:lang w:val="en-ZA"/>
        </w:rPr>
        <w:t xml:space="preserve">also </w:t>
      </w:r>
      <w:r w:rsidRPr="00FA1811">
        <w:rPr>
          <w:lang w:val="en-ZA"/>
        </w:rPr>
        <w:t>had to introduce mitigation plans to limit the delays</w:t>
      </w:r>
      <w:r>
        <w:rPr>
          <w:lang w:val="en-ZA"/>
        </w:rPr>
        <w:t>.</w:t>
      </w:r>
    </w:p>
    <w:p w:rsidR="00FA1811" w:rsidRPr="00355695" w:rsidRDefault="00FA1811" w:rsidP="00355695">
      <w:pPr>
        <w:pStyle w:val="ListParagraph"/>
        <w:ind w:left="993"/>
        <w:jc w:val="both"/>
      </w:pPr>
    </w:p>
    <w:p w:rsidR="00757599" w:rsidRDefault="00FA1811" w:rsidP="00355695">
      <w:pPr>
        <w:pStyle w:val="ListParagraph"/>
        <w:numPr>
          <w:ilvl w:val="2"/>
          <w:numId w:val="1"/>
        </w:numPr>
        <w:ind w:left="993" w:hanging="993"/>
        <w:jc w:val="both"/>
      </w:pPr>
      <w:r w:rsidRPr="00800A51">
        <w:rPr>
          <w:b/>
        </w:rPr>
        <w:t>Obtaining of Letters of Invitation</w:t>
      </w:r>
      <w:r w:rsidRPr="00913441" w:rsidDel="005C4DDC">
        <w:t xml:space="preserve"> </w:t>
      </w:r>
    </w:p>
    <w:p w:rsidR="005C4DDC" w:rsidRDefault="00FA1811" w:rsidP="00355695">
      <w:pPr>
        <w:pStyle w:val="ListParagraph"/>
        <w:ind w:left="993"/>
        <w:jc w:val="both"/>
        <w:rPr>
          <w:bCs/>
        </w:rPr>
      </w:pPr>
      <w:r w:rsidRPr="00FA1811">
        <w:rPr>
          <w:bCs/>
          <w:lang w:val="en-ZA"/>
        </w:rPr>
        <w:t>Although this was mostly due to communication and administrative issue in most cases, it caused delays for specific installations</w:t>
      </w:r>
      <w:r>
        <w:rPr>
          <w:bCs/>
          <w:lang w:val="en-ZA"/>
        </w:rPr>
        <w:t>.</w:t>
      </w:r>
    </w:p>
    <w:p w:rsidR="00060E6D" w:rsidRPr="00913441" w:rsidRDefault="00060E6D" w:rsidP="00355695">
      <w:pPr>
        <w:pStyle w:val="ListParagraph"/>
        <w:ind w:left="993" w:hanging="993"/>
        <w:jc w:val="both"/>
        <w:rPr>
          <w:bCs/>
        </w:rPr>
      </w:pPr>
    </w:p>
    <w:p w:rsidR="00276208" w:rsidRPr="00355695" w:rsidRDefault="00276208" w:rsidP="00355695">
      <w:pPr>
        <w:pStyle w:val="ListParagraph"/>
        <w:numPr>
          <w:ilvl w:val="1"/>
          <w:numId w:val="1"/>
        </w:numPr>
        <w:spacing w:after="0"/>
        <w:ind w:left="993" w:hanging="993"/>
        <w:jc w:val="both"/>
        <w:rPr>
          <w:b/>
        </w:rPr>
      </w:pPr>
      <w:r w:rsidRPr="00355695">
        <w:rPr>
          <w:b/>
        </w:rPr>
        <w:t xml:space="preserve">Transition of Services to </w:t>
      </w:r>
      <w:r w:rsidR="00943119" w:rsidRPr="00355695">
        <w:rPr>
          <w:b/>
        </w:rPr>
        <w:t xml:space="preserve">the </w:t>
      </w:r>
      <w:r w:rsidR="00366719">
        <w:rPr>
          <w:b/>
        </w:rPr>
        <w:t>Upgraded N</w:t>
      </w:r>
      <w:r w:rsidRPr="00355695">
        <w:rPr>
          <w:b/>
        </w:rPr>
        <w:t>etworks</w:t>
      </w:r>
    </w:p>
    <w:p w:rsidR="00276208" w:rsidRDefault="00276208" w:rsidP="00276208">
      <w:pPr>
        <w:pStyle w:val="ListParagraph"/>
        <w:spacing w:after="0"/>
        <w:ind w:left="1080"/>
        <w:jc w:val="both"/>
      </w:pPr>
    </w:p>
    <w:p w:rsidR="00A431C8" w:rsidRDefault="00276208" w:rsidP="00276208">
      <w:pPr>
        <w:pStyle w:val="ListParagraph"/>
        <w:spacing w:after="0"/>
        <w:ind w:left="1080"/>
        <w:jc w:val="both"/>
      </w:pPr>
      <w:r>
        <w:t>T</w:t>
      </w:r>
      <w:r w:rsidRPr="00276208">
        <w:t xml:space="preserve">ransition </w:t>
      </w:r>
      <w:r>
        <w:t xml:space="preserve">from the </w:t>
      </w:r>
      <w:r w:rsidR="00C446BF">
        <w:t>old</w:t>
      </w:r>
      <w:r>
        <w:t xml:space="preserve"> network </w:t>
      </w:r>
      <w:r w:rsidR="00C446BF">
        <w:t>wa</w:t>
      </w:r>
      <w:r w:rsidRPr="00276208">
        <w:t xml:space="preserve">s </w:t>
      </w:r>
      <w:r w:rsidR="00C446BF">
        <w:t>conducted on 16 March 2016</w:t>
      </w:r>
      <w:r w:rsidRPr="00276208">
        <w:t xml:space="preserve">.  </w:t>
      </w:r>
      <w:r w:rsidR="00CF04A3">
        <w:t>As mention</w:t>
      </w:r>
      <w:r w:rsidR="00366719">
        <w:t>ed</w:t>
      </w:r>
      <w:r w:rsidR="00CF04A3">
        <w:t xml:space="preserve"> previously</w:t>
      </w:r>
      <w:r w:rsidRPr="00276208">
        <w:t xml:space="preserve"> both </w:t>
      </w:r>
      <w:r>
        <w:t xml:space="preserve">the </w:t>
      </w:r>
      <w:r w:rsidRPr="00276208">
        <w:t xml:space="preserve">SADC </w:t>
      </w:r>
      <w:r>
        <w:t xml:space="preserve">VSAT2 </w:t>
      </w:r>
      <w:r w:rsidRPr="00276208">
        <w:t xml:space="preserve">and NAFISAT </w:t>
      </w:r>
      <w:r>
        <w:t>networks have</w:t>
      </w:r>
      <w:r w:rsidRPr="00276208">
        <w:t xml:space="preserve"> been </w:t>
      </w:r>
      <w:r>
        <w:t>upgraded</w:t>
      </w:r>
      <w:r w:rsidR="00366719">
        <w:t xml:space="preserve"> simultaneously</w:t>
      </w:r>
      <w:r w:rsidRPr="00276208">
        <w:t xml:space="preserve">.  This </w:t>
      </w:r>
      <w:r w:rsidR="00C446BF">
        <w:t>wa</w:t>
      </w:r>
      <w:r w:rsidRPr="00276208">
        <w:t>s required to ensure interconnectivity between the two networks</w:t>
      </w:r>
      <w:r>
        <w:t xml:space="preserve"> i.e. between</w:t>
      </w:r>
      <w:r w:rsidRPr="00276208">
        <w:t xml:space="preserve"> Johannesburg, Dar es Salaam, Plaisance, Antananarivo, Kinshasa</w:t>
      </w:r>
      <w:r>
        <w:t>, Kigali (in SADC)</w:t>
      </w:r>
      <w:r w:rsidRPr="00276208">
        <w:t>,</w:t>
      </w:r>
      <w:r>
        <w:t xml:space="preserve"> and</w:t>
      </w:r>
      <w:r w:rsidRPr="00276208">
        <w:t xml:space="preserve"> Khartoum, Nairobi, Entebbe, Victoria</w:t>
      </w:r>
      <w:r w:rsidR="00943119">
        <w:t xml:space="preserve"> (in NAFISAT)</w:t>
      </w:r>
      <w:r w:rsidRPr="00276208">
        <w:t>.</w:t>
      </w:r>
      <w:r w:rsidR="00C446BF">
        <w:t xml:space="preserve">  </w:t>
      </w:r>
    </w:p>
    <w:p w:rsidR="00A431C8" w:rsidRDefault="00A431C8" w:rsidP="00276208">
      <w:pPr>
        <w:pStyle w:val="ListParagraph"/>
        <w:spacing w:after="0"/>
        <w:ind w:left="1080"/>
        <w:jc w:val="both"/>
      </w:pPr>
    </w:p>
    <w:p w:rsidR="00E13B73" w:rsidRPr="000C406B" w:rsidRDefault="000C406B" w:rsidP="00276208">
      <w:pPr>
        <w:pStyle w:val="ListParagraph"/>
        <w:spacing w:after="0"/>
        <w:ind w:left="1080"/>
        <w:jc w:val="both"/>
      </w:pPr>
      <w:r w:rsidRPr="00355695">
        <w:t xml:space="preserve">The transitions were scheduled to take place from 18h00 – 20h00 and 20h00 and 24h00 </w:t>
      </w:r>
      <w:r w:rsidR="00366719">
        <w:t xml:space="preserve">GMT </w:t>
      </w:r>
      <w:r w:rsidRPr="00355695">
        <w:t>to minimize s</w:t>
      </w:r>
      <w:r w:rsidR="00C446BF" w:rsidRPr="000C406B">
        <w:t>ervice interruption</w:t>
      </w:r>
      <w:r w:rsidRPr="00355695">
        <w:t>.  Both networks were completed during the scheduled times.</w:t>
      </w:r>
    </w:p>
    <w:p w:rsidR="00E13B73" w:rsidRDefault="00E13B73" w:rsidP="00276208">
      <w:pPr>
        <w:pStyle w:val="ListParagraph"/>
        <w:spacing w:after="0"/>
        <w:ind w:left="1080"/>
        <w:jc w:val="both"/>
      </w:pPr>
    </w:p>
    <w:p w:rsidR="000C406B" w:rsidRPr="00355695" w:rsidRDefault="000C406B" w:rsidP="00355695">
      <w:pPr>
        <w:pStyle w:val="ListParagraph"/>
        <w:numPr>
          <w:ilvl w:val="2"/>
          <w:numId w:val="1"/>
        </w:numPr>
        <w:ind w:left="993" w:hanging="993"/>
        <w:jc w:val="both"/>
        <w:rPr>
          <w:b/>
          <w:bCs/>
        </w:rPr>
      </w:pPr>
      <w:r w:rsidRPr="00355695">
        <w:rPr>
          <w:b/>
        </w:rPr>
        <w:t>Present state of affairs</w:t>
      </w:r>
    </w:p>
    <w:p w:rsidR="000C406B" w:rsidRPr="00355695" w:rsidRDefault="000C406B" w:rsidP="00355695">
      <w:pPr>
        <w:pStyle w:val="ListParagraph"/>
        <w:ind w:left="993"/>
        <w:jc w:val="both"/>
        <w:rPr>
          <w:bCs/>
        </w:rPr>
      </w:pPr>
    </w:p>
    <w:p w:rsidR="000C406B" w:rsidRDefault="001F41EF" w:rsidP="00355695">
      <w:pPr>
        <w:pStyle w:val="ListParagraph"/>
        <w:ind w:left="993"/>
        <w:jc w:val="both"/>
        <w:rPr>
          <w:bCs/>
        </w:rPr>
      </w:pPr>
      <w:r>
        <w:rPr>
          <w:bCs/>
        </w:rPr>
        <w:t>Attachment B/2 shows the state of transition as on 20 March 2017.  It only indicates the circuits where problems are experienced (29 in total).  The other</w:t>
      </w:r>
      <w:r w:rsidR="00844918">
        <w:rPr>
          <w:bCs/>
        </w:rPr>
        <w:t xml:space="preserve"> circuits have all been successfully transferred (103). </w:t>
      </w:r>
    </w:p>
    <w:p w:rsidR="00844918" w:rsidRDefault="00844918" w:rsidP="00355695">
      <w:pPr>
        <w:pStyle w:val="ListParagraph"/>
        <w:ind w:left="993"/>
        <w:jc w:val="both"/>
        <w:rPr>
          <w:bCs/>
        </w:rPr>
      </w:pPr>
    </w:p>
    <w:p w:rsidR="00844918" w:rsidRPr="00355695" w:rsidRDefault="00844918" w:rsidP="00355695">
      <w:pPr>
        <w:pStyle w:val="ListParagraph"/>
        <w:ind w:left="993"/>
        <w:jc w:val="both"/>
        <w:rPr>
          <w:bCs/>
        </w:rPr>
      </w:pPr>
      <w:r>
        <w:rPr>
          <w:bCs/>
        </w:rPr>
        <w:t xml:space="preserve">Of the 29 circuits 8 will be transferred when Kigali is completed on 31 March 2017.  </w:t>
      </w:r>
      <w:r w:rsidR="00366719">
        <w:rPr>
          <w:bCs/>
        </w:rPr>
        <w:t>Another</w:t>
      </w:r>
      <w:r>
        <w:rPr>
          <w:bCs/>
        </w:rPr>
        <w:t xml:space="preserve"> 7 circuits will be transferred when the solution for the registration of the new frequencies </w:t>
      </w:r>
      <w:r w:rsidR="00366719">
        <w:rPr>
          <w:bCs/>
        </w:rPr>
        <w:t xml:space="preserve">for Mauritius </w:t>
      </w:r>
      <w:r>
        <w:rPr>
          <w:bCs/>
        </w:rPr>
        <w:t>has been resolved.  The remaining 14 circuits are due to technical problems that will be resolved as soon as possible.</w:t>
      </w:r>
    </w:p>
    <w:p w:rsidR="000C406B" w:rsidRPr="00355695" w:rsidRDefault="000C406B" w:rsidP="00355695">
      <w:pPr>
        <w:pStyle w:val="ListParagraph"/>
        <w:ind w:left="993"/>
        <w:jc w:val="both"/>
        <w:rPr>
          <w:bCs/>
        </w:rPr>
      </w:pPr>
    </w:p>
    <w:p w:rsidR="000C406B" w:rsidRPr="000C406B" w:rsidRDefault="000C406B" w:rsidP="00355695">
      <w:pPr>
        <w:pStyle w:val="ListParagraph"/>
        <w:numPr>
          <w:ilvl w:val="2"/>
          <w:numId w:val="1"/>
        </w:numPr>
        <w:ind w:left="993" w:hanging="993"/>
        <w:jc w:val="both"/>
        <w:rPr>
          <w:b/>
          <w:bCs/>
        </w:rPr>
      </w:pPr>
      <w:r w:rsidRPr="00355695">
        <w:rPr>
          <w:b/>
        </w:rPr>
        <w:t>Conclusion</w:t>
      </w:r>
      <w:r w:rsidR="00145451">
        <w:rPr>
          <w:b/>
        </w:rPr>
        <w:t xml:space="preserve"> of Transition</w:t>
      </w:r>
    </w:p>
    <w:p w:rsidR="00E13B73" w:rsidRPr="00355695" w:rsidRDefault="000C406B" w:rsidP="00355695">
      <w:pPr>
        <w:ind w:left="993"/>
        <w:jc w:val="both"/>
        <w:rPr>
          <w:bCs/>
        </w:rPr>
      </w:pPr>
      <w:r w:rsidRPr="00355695">
        <w:rPr>
          <w:rFonts w:ascii="Verdana" w:hAnsi="Verdana"/>
          <w:bCs/>
        </w:rPr>
        <w:t>The</w:t>
      </w:r>
      <w:r w:rsidR="003236B1">
        <w:rPr>
          <w:rFonts w:ascii="Verdana" w:hAnsi="Verdana"/>
          <w:bCs/>
        </w:rPr>
        <w:t xml:space="preserve"> majority of circuits have been transferred successfully on 16 March 2017.  It should be noted that services for the circuits that have not been transferred will continue to operate on the old network until the </w:t>
      </w:r>
      <w:r w:rsidR="00C758C3">
        <w:rPr>
          <w:rFonts w:ascii="Verdana" w:hAnsi="Verdana"/>
          <w:bCs/>
        </w:rPr>
        <w:t>above-</w:t>
      </w:r>
      <w:r w:rsidR="003236B1">
        <w:rPr>
          <w:rFonts w:ascii="Verdana" w:hAnsi="Verdana"/>
          <w:bCs/>
        </w:rPr>
        <w:t>mentioned issues are resolved.</w:t>
      </w:r>
    </w:p>
    <w:p w:rsidR="00E13B73" w:rsidRPr="00923345" w:rsidRDefault="00E13B73" w:rsidP="00E13B73">
      <w:pPr>
        <w:pStyle w:val="ListParagraph"/>
        <w:numPr>
          <w:ilvl w:val="1"/>
          <w:numId w:val="1"/>
        </w:numPr>
        <w:ind w:left="993" w:hanging="993"/>
        <w:jc w:val="both"/>
        <w:rPr>
          <w:b/>
          <w:bCs/>
        </w:rPr>
      </w:pPr>
      <w:r w:rsidRPr="00923345">
        <w:rPr>
          <w:b/>
        </w:rPr>
        <w:t>Retention of interconnectivity with AFISNET</w:t>
      </w:r>
    </w:p>
    <w:p w:rsidR="00E13B73" w:rsidRPr="00114719" w:rsidRDefault="00E13B73" w:rsidP="00E13B73">
      <w:pPr>
        <w:ind w:left="1080"/>
        <w:jc w:val="both"/>
        <w:rPr>
          <w:rStyle w:val="Strong"/>
          <w:rFonts w:ascii="Verdana" w:hAnsi="Verdana"/>
          <w:b w:val="0"/>
        </w:rPr>
      </w:pPr>
      <w:r w:rsidRPr="00114719">
        <w:rPr>
          <w:rStyle w:val="Strong"/>
          <w:rFonts w:ascii="Verdana" w:hAnsi="Verdana"/>
          <w:b w:val="0"/>
        </w:rPr>
        <w:t>The SADC</w:t>
      </w:r>
      <w:r w:rsidR="00C758C3">
        <w:rPr>
          <w:rStyle w:val="Strong"/>
          <w:rFonts w:ascii="Verdana" w:hAnsi="Verdana"/>
          <w:b w:val="0"/>
        </w:rPr>
        <w:t xml:space="preserve"> VSAT2</w:t>
      </w:r>
      <w:r w:rsidRPr="00114719">
        <w:rPr>
          <w:rStyle w:val="Strong"/>
          <w:rFonts w:ascii="Verdana" w:hAnsi="Verdana"/>
          <w:b w:val="0"/>
        </w:rPr>
        <w:t xml:space="preserve"> </w:t>
      </w:r>
      <w:r w:rsidR="00C758C3">
        <w:rPr>
          <w:rStyle w:val="Strong"/>
          <w:rFonts w:ascii="Verdana" w:hAnsi="Verdana"/>
          <w:b w:val="0"/>
        </w:rPr>
        <w:t xml:space="preserve">sites that </w:t>
      </w:r>
      <w:r w:rsidRPr="00114719">
        <w:rPr>
          <w:rStyle w:val="Strong"/>
          <w:rFonts w:ascii="Verdana" w:hAnsi="Verdana"/>
          <w:b w:val="0"/>
        </w:rPr>
        <w:t>interconnect with AFISNET</w:t>
      </w:r>
      <w:r w:rsidR="003236B1">
        <w:rPr>
          <w:rStyle w:val="Strong"/>
          <w:rFonts w:ascii="Verdana" w:hAnsi="Verdana"/>
          <w:b w:val="0"/>
        </w:rPr>
        <w:t xml:space="preserve"> are indicated in Attachment C (SADC highlighted in yellow)</w:t>
      </w:r>
    </w:p>
    <w:p w:rsidR="00145451" w:rsidRDefault="00E13B73" w:rsidP="00E13B73">
      <w:pPr>
        <w:pStyle w:val="ListParagraph"/>
        <w:spacing w:after="0"/>
        <w:ind w:left="1080"/>
        <w:jc w:val="both"/>
      </w:pPr>
      <w:r>
        <w:t>T</w:t>
      </w:r>
      <w:r w:rsidRPr="00114719">
        <w:t>he</w:t>
      </w:r>
      <w:r w:rsidR="00145451">
        <w:t>se</w:t>
      </w:r>
      <w:r w:rsidRPr="00114719">
        <w:t xml:space="preserve"> circuits w</w:t>
      </w:r>
      <w:r>
        <w:t>ere</w:t>
      </w:r>
      <w:r w:rsidRPr="00114719">
        <w:t xml:space="preserve"> retained </w:t>
      </w:r>
      <w:r>
        <w:t>in</w:t>
      </w:r>
      <w:r w:rsidRPr="00114719">
        <w:t xml:space="preserve"> the upgrade.  AFISNET has not upgraded the</w:t>
      </w:r>
      <w:r>
        <w:t>ir</w:t>
      </w:r>
      <w:r w:rsidRPr="00114719">
        <w:t xml:space="preserve"> network and consequently</w:t>
      </w:r>
      <w:r>
        <w:t xml:space="preserve"> the</w:t>
      </w:r>
      <w:r w:rsidRPr="00114719">
        <w:t xml:space="preserve"> Datum MCPC (SCPC) modems and obsolete Memotec modems ha</w:t>
      </w:r>
      <w:r>
        <w:t>d</w:t>
      </w:r>
      <w:r w:rsidRPr="00114719">
        <w:t xml:space="preserve"> to be retained</w:t>
      </w:r>
      <w:r>
        <w:t xml:space="preserve"> at the SADC VSAT2 sites.  </w:t>
      </w:r>
    </w:p>
    <w:p w:rsidR="00145451" w:rsidRDefault="00145451" w:rsidP="00E13B73">
      <w:pPr>
        <w:pStyle w:val="ListParagraph"/>
        <w:spacing w:after="0"/>
        <w:ind w:left="1080"/>
        <w:jc w:val="both"/>
      </w:pPr>
    </w:p>
    <w:p w:rsidR="00145451" w:rsidRDefault="00E13B73" w:rsidP="00E13B73">
      <w:pPr>
        <w:pStyle w:val="ListParagraph"/>
        <w:spacing w:after="0"/>
        <w:ind w:left="1080"/>
        <w:jc w:val="both"/>
      </w:pPr>
      <w:r>
        <w:t>The</w:t>
      </w:r>
      <w:r w:rsidRPr="00114719">
        <w:t xml:space="preserve"> risk </w:t>
      </w:r>
      <w:r>
        <w:t xml:space="preserve">of maintaining the obsolete Memotec equipment used in the SADC network </w:t>
      </w:r>
      <w:r w:rsidRPr="00114719">
        <w:t>will be mitigated through the number of additional Memot</w:t>
      </w:r>
      <w:r>
        <w:t>ec units</w:t>
      </w:r>
      <w:r w:rsidRPr="00114719">
        <w:t xml:space="preserve"> that w</w:t>
      </w:r>
      <w:r w:rsidR="00145451">
        <w:t>i</w:t>
      </w:r>
      <w:r w:rsidRPr="00114719">
        <w:t xml:space="preserve">ll be available after the upgrade.  </w:t>
      </w:r>
    </w:p>
    <w:p w:rsidR="00145451" w:rsidRDefault="00145451" w:rsidP="00E13B73">
      <w:pPr>
        <w:pStyle w:val="ListParagraph"/>
        <w:spacing w:after="0"/>
        <w:ind w:left="1080"/>
        <w:jc w:val="both"/>
      </w:pPr>
    </w:p>
    <w:p w:rsidR="00276208" w:rsidRDefault="00E13B73" w:rsidP="00E13B73">
      <w:pPr>
        <w:pStyle w:val="ListParagraph"/>
        <w:spacing w:after="0"/>
        <w:ind w:left="1080"/>
        <w:jc w:val="both"/>
      </w:pPr>
      <w:r w:rsidRPr="00114719">
        <w:t>Addit</w:t>
      </w:r>
      <w:r>
        <w:t>ionally ASECNA has indicated that</w:t>
      </w:r>
      <w:r w:rsidRPr="00114719">
        <w:t xml:space="preserve"> they are planning to upgrade all their AFISNET Memo</w:t>
      </w:r>
      <w:r>
        <w:t>tec equipment with NetPerformer devices</w:t>
      </w:r>
      <w:r w:rsidRPr="00114719">
        <w:t>.</w:t>
      </w:r>
      <w:r>
        <w:t xml:space="preserve">  The upgrade of the AFISNET modems is subject to a decision by the AFISNET </w:t>
      </w:r>
      <w:r w:rsidRPr="00D4227D">
        <w:rPr>
          <w:rFonts w:cs="Arial"/>
        </w:rPr>
        <w:t>Satellite Network Management Committee (SNMC/23)</w:t>
      </w:r>
      <w:r>
        <w:rPr>
          <w:rFonts w:cs="Arial"/>
        </w:rPr>
        <w:t>.</w:t>
      </w:r>
    </w:p>
    <w:p w:rsidR="00276208" w:rsidRDefault="00276208" w:rsidP="00276208">
      <w:pPr>
        <w:pStyle w:val="ListParagraph"/>
        <w:spacing w:after="0"/>
        <w:ind w:left="1080"/>
        <w:jc w:val="both"/>
      </w:pPr>
    </w:p>
    <w:p w:rsidR="00384155" w:rsidRPr="00355695" w:rsidRDefault="00384155" w:rsidP="00384155">
      <w:pPr>
        <w:pStyle w:val="ListParagraph"/>
        <w:numPr>
          <w:ilvl w:val="1"/>
          <w:numId w:val="1"/>
        </w:numPr>
        <w:spacing w:after="0"/>
        <w:ind w:left="1080" w:hanging="720"/>
        <w:jc w:val="both"/>
        <w:rPr>
          <w:b/>
        </w:rPr>
      </w:pPr>
      <w:r w:rsidRPr="00355695">
        <w:rPr>
          <w:b/>
        </w:rPr>
        <w:t xml:space="preserve">Training of SADC &amp; NAFISAT </w:t>
      </w:r>
      <w:r w:rsidR="00943119" w:rsidRPr="00355695">
        <w:rPr>
          <w:b/>
        </w:rPr>
        <w:t>Technical Personnel</w:t>
      </w:r>
    </w:p>
    <w:p w:rsidR="00384155" w:rsidRDefault="00384155" w:rsidP="00384155">
      <w:pPr>
        <w:pStyle w:val="ListParagraph"/>
        <w:spacing w:after="0"/>
        <w:ind w:left="1080"/>
        <w:jc w:val="both"/>
      </w:pPr>
    </w:p>
    <w:p w:rsidR="00384155" w:rsidRDefault="00CF04A3" w:rsidP="00384155">
      <w:pPr>
        <w:pStyle w:val="ListParagraph"/>
        <w:spacing w:after="0"/>
        <w:ind w:left="1080"/>
        <w:jc w:val="both"/>
      </w:pPr>
      <w:r>
        <w:t>T</w:t>
      </w:r>
      <w:r w:rsidR="00384155">
        <w:t xml:space="preserve">he ATNS Training Academy </w:t>
      </w:r>
      <w:r>
        <w:t>was</w:t>
      </w:r>
      <w:r w:rsidR="00384155">
        <w:t xml:space="preserve"> upgraded and new training material developed based on the new ND Satcom SkyWAN IDU7000 modem and NetPerformer Frame Relay Access Device (FAD).</w:t>
      </w:r>
    </w:p>
    <w:p w:rsidR="00384155" w:rsidRDefault="00384155" w:rsidP="00384155">
      <w:pPr>
        <w:pStyle w:val="ListParagraph"/>
        <w:spacing w:after="0"/>
        <w:ind w:left="1080"/>
        <w:jc w:val="both"/>
      </w:pPr>
    </w:p>
    <w:p w:rsidR="00A431C8" w:rsidRDefault="0050281A" w:rsidP="00384155">
      <w:pPr>
        <w:pStyle w:val="ListParagraph"/>
        <w:spacing w:after="0"/>
        <w:ind w:left="1080"/>
        <w:jc w:val="both"/>
      </w:pPr>
      <w:r>
        <w:lastRenderedPageBreak/>
        <w:t>The initial detailed t</w:t>
      </w:r>
      <w:r w:rsidR="00384155">
        <w:t>raining of technicians from the SADC VSAT2 and NAFISAT states commence</w:t>
      </w:r>
      <w:r w:rsidR="00CF04A3">
        <w:t>d</w:t>
      </w:r>
      <w:r w:rsidR="00384155">
        <w:t xml:space="preserve"> </w:t>
      </w:r>
      <w:r w:rsidR="00CF04A3">
        <w:t>on 20</w:t>
      </w:r>
      <w:r w:rsidR="00CF04A3" w:rsidRPr="00355695">
        <w:rPr>
          <w:vertAlign w:val="superscript"/>
        </w:rPr>
        <w:t>th</w:t>
      </w:r>
      <w:r w:rsidR="00CF04A3">
        <w:t xml:space="preserve"> June 2016 and courses will continue until all States have been trained</w:t>
      </w:r>
      <w:r w:rsidR="00384155">
        <w:t xml:space="preserve">.  </w:t>
      </w:r>
      <w:r w:rsidR="00A431C8">
        <w:t>The States that have received training to date are shown in Attachment D.  The remaining States will be hosted in</w:t>
      </w:r>
      <w:r>
        <w:t xml:space="preserve"> </w:t>
      </w:r>
      <w:r w:rsidR="00A431C8">
        <w:t xml:space="preserve">future courses starting in April 2017. </w:t>
      </w:r>
    </w:p>
    <w:p w:rsidR="00A431C8" w:rsidRDefault="00A431C8" w:rsidP="00384155">
      <w:pPr>
        <w:pStyle w:val="ListParagraph"/>
        <w:spacing w:after="0"/>
        <w:ind w:left="1080"/>
        <w:jc w:val="both"/>
      </w:pPr>
    </w:p>
    <w:p w:rsidR="00384155" w:rsidRDefault="00384155" w:rsidP="00384155">
      <w:pPr>
        <w:pStyle w:val="ListParagraph"/>
        <w:spacing w:after="0"/>
        <w:ind w:left="1080"/>
        <w:jc w:val="both"/>
      </w:pPr>
      <w:r>
        <w:t xml:space="preserve">In addition all technicians </w:t>
      </w:r>
      <w:r w:rsidR="00CF04A3">
        <w:t>have</w:t>
      </w:r>
      <w:r>
        <w:t xml:space="preserve"> receive</w:t>
      </w:r>
      <w:r w:rsidR="00CF04A3">
        <w:t>d</w:t>
      </w:r>
      <w:r>
        <w:t xml:space="preserve"> </w:t>
      </w:r>
      <w:r w:rsidR="00943119">
        <w:t xml:space="preserve">basic </w:t>
      </w:r>
      <w:r>
        <w:t>on-site training during the installation phase.  This training ensure</w:t>
      </w:r>
      <w:r w:rsidR="00CF04A3">
        <w:t>d</w:t>
      </w:r>
      <w:r>
        <w:t xml:space="preserve"> </w:t>
      </w:r>
      <w:r w:rsidR="00943119">
        <w:t xml:space="preserve">that </w:t>
      </w:r>
      <w:r>
        <w:t xml:space="preserve">the transition from the </w:t>
      </w:r>
      <w:r w:rsidR="00CF04A3">
        <w:t>old</w:t>
      </w:r>
      <w:r>
        <w:t xml:space="preserve"> to the new upgraded network w</w:t>
      </w:r>
      <w:r w:rsidR="00CF04A3">
        <w:t>as</w:t>
      </w:r>
      <w:r>
        <w:t xml:space="preserve"> accomplished without any significant interruptions in the services provided</w:t>
      </w:r>
      <w:r w:rsidR="00943119">
        <w:t>.</w:t>
      </w:r>
    </w:p>
    <w:p w:rsidR="0083183A" w:rsidRDefault="0083183A" w:rsidP="00384155">
      <w:pPr>
        <w:spacing w:after="0"/>
        <w:ind w:left="1080"/>
        <w:jc w:val="both"/>
        <w:rPr>
          <w:rFonts w:ascii="Verdana" w:hAnsi="Verdana"/>
        </w:rPr>
      </w:pPr>
    </w:p>
    <w:p w:rsidR="0083183A" w:rsidRPr="00355695" w:rsidRDefault="00827092" w:rsidP="00827092">
      <w:pPr>
        <w:pStyle w:val="ListParagraph"/>
        <w:numPr>
          <w:ilvl w:val="1"/>
          <w:numId w:val="1"/>
        </w:numPr>
        <w:spacing w:after="0"/>
        <w:ind w:left="1080" w:hanging="720"/>
        <w:jc w:val="both"/>
        <w:rPr>
          <w:b/>
        </w:rPr>
      </w:pPr>
      <w:r w:rsidRPr="00355695">
        <w:rPr>
          <w:b/>
        </w:rPr>
        <w:t>Additional work required by States</w:t>
      </w:r>
    </w:p>
    <w:p w:rsidR="00827092" w:rsidRPr="00827092" w:rsidRDefault="00827092" w:rsidP="00827092">
      <w:pPr>
        <w:spacing w:after="0"/>
        <w:jc w:val="both"/>
        <w:rPr>
          <w:rFonts w:ascii="Verdana" w:hAnsi="Verdana"/>
        </w:rPr>
      </w:pPr>
    </w:p>
    <w:p w:rsidR="00145451" w:rsidRDefault="00AA1790" w:rsidP="00827092">
      <w:pPr>
        <w:spacing w:after="0"/>
        <w:ind w:left="1080"/>
        <w:jc w:val="both"/>
        <w:rPr>
          <w:rFonts w:ascii="Verdana" w:hAnsi="Verdana"/>
        </w:rPr>
      </w:pPr>
      <w:r>
        <w:rPr>
          <w:rFonts w:ascii="Verdana" w:hAnsi="Verdana"/>
        </w:rPr>
        <w:t>In SADC</w:t>
      </w:r>
      <w:r w:rsidR="00C758C3">
        <w:rPr>
          <w:rFonts w:ascii="Verdana" w:hAnsi="Verdana"/>
        </w:rPr>
        <w:t xml:space="preserve"> VSAT2</w:t>
      </w:r>
      <w:r>
        <w:rPr>
          <w:rFonts w:ascii="Verdana" w:hAnsi="Verdana"/>
        </w:rPr>
        <w:t xml:space="preserve"> three States required the relocation of their terminals in view new development </w:t>
      </w:r>
      <w:r w:rsidR="0050281A">
        <w:rPr>
          <w:rFonts w:ascii="Verdana" w:hAnsi="Verdana"/>
        </w:rPr>
        <w:t>of their</w:t>
      </w:r>
      <w:r>
        <w:rPr>
          <w:rFonts w:ascii="Verdana" w:hAnsi="Verdana"/>
        </w:rPr>
        <w:t xml:space="preserve"> aviation infrastructure, namely Mozambique (Maputo), Swaziland and Kinshasa.  This was additional work </w:t>
      </w:r>
      <w:r w:rsidR="00827092">
        <w:rPr>
          <w:rFonts w:ascii="Verdana" w:hAnsi="Verdana"/>
        </w:rPr>
        <w:t xml:space="preserve">required over and above the work scheduled for the upgrade.  </w:t>
      </w:r>
    </w:p>
    <w:p w:rsidR="00145451" w:rsidRDefault="00145451" w:rsidP="00827092">
      <w:pPr>
        <w:spacing w:after="0"/>
        <w:ind w:left="1080"/>
        <w:jc w:val="both"/>
        <w:rPr>
          <w:rFonts w:ascii="Verdana" w:hAnsi="Verdana"/>
        </w:rPr>
      </w:pPr>
    </w:p>
    <w:p w:rsidR="00827092" w:rsidRPr="00827092" w:rsidRDefault="00827092" w:rsidP="00827092">
      <w:pPr>
        <w:spacing w:after="0"/>
        <w:ind w:left="1080"/>
        <w:jc w:val="both"/>
        <w:rPr>
          <w:rFonts w:ascii="Verdana" w:hAnsi="Verdana"/>
        </w:rPr>
      </w:pPr>
      <w:r>
        <w:rPr>
          <w:rFonts w:ascii="Verdana" w:hAnsi="Verdana"/>
        </w:rPr>
        <w:t xml:space="preserve">It should be noted that the cost of </w:t>
      </w:r>
      <w:r w:rsidR="00C758C3">
        <w:rPr>
          <w:rFonts w:ascii="Verdana" w:hAnsi="Verdana"/>
        </w:rPr>
        <w:t xml:space="preserve">this </w:t>
      </w:r>
      <w:r>
        <w:rPr>
          <w:rFonts w:ascii="Verdana" w:hAnsi="Verdana"/>
        </w:rPr>
        <w:t>additional work w</w:t>
      </w:r>
      <w:r w:rsidR="00AA1790">
        <w:rPr>
          <w:rFonts w:ascii="Verdana" w:hAnsi="Verdana"/>
        </w:rPr>
        <w:t xml:space="preserve">as carried </w:t>
      </w:r>
      <w:r>
        <w:rPr>
          <w:rFonts w:ascii="Verdana" w:hAnsi="Verdana"/>
        </w:rPr>
        <w:t>b</w:t>
      </w:r>
      <w:r w:rsidR="00AA1790">
        <w:rPr>
          <w:rFonts w:ascii="Verdana" w:hAnsi="Verdana"/>
        </w:rPr>
        <w:t>y</w:t>
      </w:r>
      <w:r>
        <w:rPr>
          <w:rFonts w:ascii="Verdana" w:hAnsi="Verdana"/>
        </w:rPr>
        <w:t xml:space="preserve"> the individual States.  </w:t>
      </w:r>
      <w:r w:rsidR="0050281A">
        <w:rPr>
          <w:rFonts w:ascii="Verdana" w:hAnsi="Verdana"/>
        </w:rPr>
        <w:t>Because of the delay with the upgrades at some site</w:t>
      </w:r>
      <w:r w:rsidR="00C758C3">
        <w:rPr>
          <w:rFonts w:ascii="Verdana" w:hAnsi="Verdana"/>
        </w:rPr>
        <w:t>s</w:t>
      </w:r>
      <w:r w:rsidR="0050281A">
        <w:rPr>
          <w:rFonts w:ascii="Verdana" w:hAnsi="Verdana"/>
        </w:rPr>
        <w:t>, and the resulting delay in the transition of the networks, t</w:t>
      </w:r>
      <w:r w:rsidR="00AA1790">
        <w:rPr>
          <w:rFonts w:ascii="Verdana" w:hAnsi="Verdana"/>
        </w:rPr>
        <w:t xml:space="preserve">he work </w:t>
      </w:r>
      <w:r w:rsidR="0050281A">
        <w:rPr>
          <w:rFonts w:ascii="Verdana" w:hAnsi="Verdana"/>
        </w:rPr>
        <w:t xml:space="preserve">at these three sites </w:t>
      </w:r>
      <w:r w:rsidR="00AA1790">
        <w:rPr>
          <w:rFonts w:ascii="Verdana" w:hAnsi="Verdana"/>
        </w:rPr>
        <w:t>was done as part of the upgrade and did not delay the project as a whole</w:t>
      </w:r>
      <w:r w:rsidR="00857699">
        <w:rPr>
          <w:rFonts w:ascii="Verdana" w:hAnsi="Verdana"/>
        </w:rPr>
        <w:t>.</w:t>
      </w:r>
    </w:p>
    <w:p w:rsidR="0083183A" w:rsidRPr="00827092" w:rsidRDefault="0083183A" w:rsidP="00384155">
      <w:pPr>
        <w:spacing w:after="0"/>
        <w:ind w:left="1080"/>
        <w:jc w:val="both"/>
        <w:rPr>
          <w:rFonts w:ascii="Verdana" w:hAnsi="Verdana"/>
        </w:rPr>
      </w:pPr>
    </w:p>
    <w:p w:rsidR="00BF001A" w:rsidRDefault="00BF001A" w:rsidP="00DD1F08">
      <w:pPr>
        <w:pStyle w:val="ListParagraph"/>
        <w:numPr>
          <w:ilvl w:val="0"/>
          <w:numId w:val="1"/>
        </w:numPr>
        <w:ind w:left="1080" w:hanging="720"/>
        <w:jc w:val="both"/>
        <w:rPr>
          <w:b/>
        </w:rPr>
      </w:pPr>
      <w:r>
        <w:rPr>
          <w:b/>
        </w:rPr>
        <w:t>Implications</w:t>
      </w:r>
    </w:p>
    <w:p w:rsidR="00BF001A" w:rsidRPr="00355695" w:rsidRDefault="00BF001A" w:rsidP="00355695">
      <w:pPr>
        <w:pStyle w:val="ListParagraph"/>
        <w:ind w:left="1080"/>
        <w:jc w:val="both"/>
      </w:pPr>
    </w:p>
    <w:p w:rsidR="00BF001A" w:rsidRPr="00355695" w:rsidRDefault="00BF001A" w:rsidP="00355695">
      <w:pPr>
        <w:pStyle w:val="ListParagraph"/>
        <w:ind w:left="1080"/>
        <w:jc w:val="both"/>
      </w:pPr>
      <w:r w:rsidRPr="00355695">
        <w:t>The following implication should be mentioned</w:t>
      </w:r>
      <w:r>
        <w:t xml:space="preserve"> as a result of the sites that were not upgraded as part of the transition of the two networks.</w:t>
      </w:r>
    </w:p>
    <w:p w:rsidR="00BF001A" w:rsidRDefault="00BF001A" w:rsidP="00355695">
      <w:pPr>
        <w:pStyle w:val="ListParagraph"/>
        <w:ind w:left="1080"/>
        <w:jc w:val="both"/>
        <w:rPr>
          <w:b/>
        </w:rPr>
      </w:pPr>
    </w:p>
    <w:p w:rsidR="00145451" w:rsidRDefault="00C758C3" w:rsidP="00355695">
      <w:pPr>
        <w:pStyle w:val="ListParagraph"/>
        <w:numPr>
          <w:ilvl w:val="1"/>
          <w:numId w:val="1"/>
        </w:numPr>
        <w:ind w:left="1134" w:hanging="774"/>
        <w:jc w:val="both"/>
      </w:pPr>
      <w:r>
        <w:t>The problem of s</w:t>
      </w:r>
      <w:r w:rsidR="003236B1">
        <w:t>ite</w:t>
      </w:r>
      <w:r>
        <w:t>s</w:t>
      </w:r>
      <w:r w:rsidR="003236B1">
        <w:t xml:space="preserve"> that were not upgraded as part of the transition of the two networks</w:t>
      </w:r>
      <w:r>
        <w:t>,</w:t>
      </w:r>
      <w:r w:rsidR="003236B1">
        <w:t xml:space="preserve"> as mentioned in paragraph 2.3.1 and Attachment B/2</w:t>
      </w:r>
      <w:r>
        <w:t>,</w:t>
      </w:r>
      <w:r w:rsidR="003236B1">
        <w:t xml:space="preserve"> are </w:t>
      </w:r>
      <w:r>
        <w:t>of a temporary nature</w:t>
      </w:r>
      <w:r w:rsidR="003236B1">
        <w:t xml:space="preserve"> that will be resolved as soon as possible.  </w:t>
      </w:r>
    </w:p>
    <w:p w:rsidR="00145451" w:rsidRDefault="00145451" w:rsidP="00355695">
      <w:pPr>
        <w:pStyle w:val="ListParagraph"/>
        <w:ind w:left="1134"/>
        <w:jc w:val="both"/>
      </w:pPr>
    </w:p>
    <w:p w:rsidR="008559F4" w:rsidRDefault="003236B1" w:rsidP="00355695">
      <w:pPr>
        <w:pStyle w:val="ListParagraph"/>
        <w:numPr>
          <w:ilvl w:val="1"/>
          <w:numId w:val="1"/>
        </w:numPr>
        <w:ind w:left="1134" w:hanging="774"/>
        <w:jc w:val="both"/>
      </w:pPr>
      <w:r>
        <w:t>Services will not be interrupted since ATNS has sufficient Memotec and IDU5000 equipment</w:t>
      </w:r>
      <w:r w:rsidR="00145451">
        <w:t xml:space="preserve"> to continue with the maintenance of the SADC and NAFISAT terminals.</w:t>
      </w:r>
    </w:p>
    <w:p w:rsidR="008559F4" w:rsidRDefault="008559F4" w:rsidP="00355695">
      <w:pPr>
        <w:pStyle w:val="ListParagraph"/>
      </w:pPr>
    </w:p>
    <w:p w:rsidR="00145451" w:rsidRPr="00355695" w:rsidRDefault="00145451" w:rsidP="00355695">
      <w:pPr>
        <w:pStyle w:val="ListParagraph"/>
        <w:numPr>
          <w:ilvl w:val="1"/>
          <w:numId w:val="1"/>
        </w:numPr>
        <w:ind w:left="1134" w:hanging="774"/>
        <w:jc w:val="both"/>
      </w:pPr>
      <w:r>
        <w:t xml:space="preserve">It should be mentioned that an amount of satellite spectrum will have to be retained for the old network.  The optimization of the satellite spectrum can therefore not be completed until all the terminals in SADC and NAFISAT have been transferred to the new network.  For the SADC </w:t>
      </w:r>
      <w:r w:rsidR="00C758C3">
        <w:t xml:space="preserve">VSAT2 </w:t>
      </w:r>
      <w:r>
        <w:t>sites</w:t>
      </w:r>
      <w:r w:rsidR="00C758C3">
        <w:t xml:space="preserve"> this</w:t>
      </w:r>
      <w:r>
        <w:t xml:space="preserve"> i</w:t>
      </w:r>
      <w:r w:rsidR="00C758C3">
        <w:t>s</w:t>
      </w:r>
      <w:r>
        <w:t xml:space="preserve"> not foreseen as a risk</w:t>
      </w:r>
      <w:r w:rsidR="008559F4">
        <w:t xml:space="preserve">. </w:t>
      </w:r>
      <w:r w:rsidR="00C758C3">
        <w:t xml:space="preserve"> </w:t>
      </w:r>
      <w:r w:rsidR="008559F4">
        <w:t>H</w:t>
      </w:r>
      <w:r>
        <w:t xml:space="preserve">owever Sana’a and Saudi Arabia </w:t>
      </w:r>
      <w:r w:rsidR="00C758C3">
        <w:t xml:space="preserve">in NAFISAT </w:t>
      </w:r>
      <w:r>
        <w:t xml:space="preserve">could still be a problem for some unknown time.  </w:t>
      </w:r>
      <w:r>
        <w:lastRenderedPageBreak/>
        <w:t xml:space="preserve">This </w:t>
      </w:r>
      <w:r w:rsidR="00C758C3">
        <w:t>risk</w:t>
      </w:r>
      <w:r w:rsidR="001E5E0D">
        <w:t xml:space="preserve"> of late upgrade of these sites</w:t>
      </w:r>
      <w:r>
        <w:t xml:space="preserve"> will have to </w:t>
      </w:r>
      <w:r w:rsidR="008559F4">
        <w:t>be discussed and may have to be referred to ICAO for a solution.</w:t>
      </w:r>
    </w:p>
    <w:p w:rsidR="005C4DDC" w:rsidRDefault="005C4DDC" w:rsidP="00355695">
      <w:pPr>
        <w:pStyle w:val="ListParagraph"/>
        <w:ind w:left="1080"/>
        <w:jc w:val="both"/>
        <w:rPr>
          <w:b/>
        </w:rPr>
      </w:pPr>
    </w:p>
    <w:p w:rsidR="006E22B0" w:rsidRPr="006E22B0" w:rsidRDefault="006E22B0" w:rsidP="00DD1F08">
      <w:pPr>
        <w:pStyle w:val="ListParagraph"/>
        <w:numPr>
          <w:ilvl w:val="0"/>
          <w:numId w:val="1"/>
        </w:numPr>
        <w:ind w:left="1080" w:hanging="720"/>
        <w:jc w:val="both"/>
        <w:rPr>
          <w:b/>
        </w:rPr>
      </w:pPr>
      <w:r>
        <w:rPr>
          <w:b/>
        </w:rPr>
        <w:t>Recommendations</w:t>
      </w:r>
    </w:p>
    <w:p w:rsidR="006E22B0" w:rsidRPr="006E22B0" w:rsidRDefault="006E22B0" w:rsidP="00DD1F08">
      <w:pPr>
        <w:pStyle w:val="ListParagraph"/>
        <w:ind w:left="1080" w:hanging="720"/>
        <w:jc w:val="both"/>
        <w:rPr>
          <w:b/>
        </w:rPr>
      </w:pPr>
    </w:p>
    <w:p w:rsidR="00AE2003" w:rsidRPr="00DA6A07" w:rsidRDefault="00AE2003" w:rsidP="00DD1F08">
      <w:pPr>
        <w:pStyle w:val="ListParagraph"/>
        <w:ind w:left="1530" w:hanging="450"/>
        <w:jc w:val="both"/>
        <w:rPr>
          <w:b/>
        </w:rPr>
      </w:pPr>
      <w:r w:rsidRPr="00DA6A07">
        <w:t>It is requested that:</w:t>
      </w:r>
    </w:p>
    <w:p w:rsidR="00AE2003" w:rsidRDefault="00AE2003" w:rsidP="00504E34">
      <w:pPr>
        <w:ind w:left="1560" w:hanging="567"/>
        <w:jc w:val="both"/>
        <w:rPr>
          <w:rFonts w:ascii="Verdana" w:hAnsi="Verdana"/>
        </w:rPr>
      </w:pPr>
      <w:r>
        <w:rPr>
          <w:rFonts w:ascii="Verdana" w:hAnsi="Verdana"/>
        </w:rPr>
        <w:t>a)</w:t>
      </w:r>
      <w:r>
        <w:rPr>
          <w:rFonts w:ascii="Verdana" w:hAnsi="Verdana"/>
        </w:rPr>
        <w:tab/>
        <w:t xml:space="preserve">The meeting take note of the </w:t>
      </w:r>
      <w:r w:rsidR="00827092">
        <w:rPr>
          <w:rFonts w:ascii="Verdana" w:hAnsi="Verdana"/>
        </w:rPr>
        <w:t>progress made in respect of the upgrade of the SADC VSAT2 network</w:t>
      </w:r>
      <w:r>
        <w:rPr>
          <w:rFonts w:ascii="Verdana" w:hAnsi="Verdana"/>
        </w:rPr>
        <w:t>.</w:t>
      </w:r>
    </w:p>
    <w:p w:rsidR="00AE2003" w:rsidRDefault="00AE2003" w:rsidP="00504E34">
      <w:pPr>
        <w:ind w:left="1560" w:hanging="567"/>
        <w:jc w:val="both"/>
        <w:rPr>
          <w:rFonts w:ascii="Verdana" w:hAnsi="Verdana"/>
        </w:rPr>
      </w:pPr>
      <w:r>
        <w:rPr>
          <w:rFonts w:ascii="Verdana" w:hAnsi="Verdana"/>
        </w:rPr>
        <w:t>b)</w:t>
      </w:r>
      <w:r>
        <w:rPr>
          <w:rFonts w:ascii="Verdana" w:hAnsi="Verdana"/>
        </w:rPr>
        <w:tab/>
      </w:r>
      <w:r w:rsidR="00827092">
        <w:rPr>
          <w:rFonts w:ascii="Verdana" w:hAnsi="Verdana"/>
        </w:rPr>
        <w:t>Take note of the implication</w:t>
      </w:r>
      <w:r w:rsidR="001E5E0D">
        <w:rPr>
          <w:rFonts w:ascii="Verdana" w:hAnsi="Verdana"/>
        </w:rPr>
        <w:t xml:space="preserve"> in paragraph 3.3, </w:t>
      </w:r>
      <w:r w:rsidR="00827092">
        <w:rPr>
          <w:rFonts w:ascii="Verdana" w:hAnsi="Verdana"/>
        </w:rPr>
        <w:t xml:space="preserve">foreseen </w:t>
      </w:r>
      <w:r w:rsidR="0050281A">
        <w:rPr>
          <w:rFonts w:ascii="Verdana" w:hAnsi="Verdana"/>
        </w:rPr>
        <w:t>as a result of continued operation of both the old and the upgraded networks</w:t>
      </w:r>
      <w:r w:rsidR="00E31189">
        <w:rPr>
          <w:rFonts w:ascii="Verdana" w:hAnsi="Verdana"/>
        </w:rPr>
        <w:t>.</w:t>
      </w:r>
    </w:p>
    <w:p w:rsidR="00493FFA" w:rsidRDefault="00493FFA" w:rsidP="00504E34">
      <w:pPr>
        <w:ind w:left="993" w:hanging="709"/>
        <w:jc w:val="both"/>
        <w:rPr>
          <w:rFonts w:ascii="Verdana" w:hAnsi="Verdana"/>
        </w:rPr>
      </w:pPr>
    </w:p>
    <w:p w:rsidR="005F3124" w:rsidRDefault="005F3124" w:rsidP="00355695">
      <w:pPr>
        <w:ind w:left="993" w:hanging="709"/>
        <w:rPr>
          <w:rFonts w:ascii="Verdana" w:hAnsi="Verdana"/>
        </w:rPr>
      </w:pPr>
    </w:p>
    <w:p w:rsidR="00D40CA2" w:rsidRDefault="00D40CA2" w:rsidP="00355695">
      <w:pPr>
        <w:ind w:left="993" w:hanging="709"/>
        <w:rPr>
          <w:rFonts w:ascii="Verdana" w:hAnsi="Verdana"/>
        </w:rPr>
        <w:sectPr w:rsidR="00D40CA2" w:rsidSect="00355695">
          <w:headerReference w:type="default" r:id="rId9"/>
          <w:footerReference w:type="default" r:id="rId10"/>
          <w:pgSz w:w="11906" w:h="16838"/>
          <w:pgMar w:top="1418" w:right="1440" w:bottom="1440" w:left="1276" w:header="708" w:footer="708" w:gutter="0"/>
          <w:cols w:space="708"/>
          <w:docGrid w:linePitch="360"/>
        </w:sectPr>
      </w:pPr>
    </w:p>
    <w:p w:rsidR="0002292B" w:rsidRDefault="001E7C53" w:rsidP="00D96FC3">
      <w:pPr>
        <w:ind w:left="993" w:hanging="993"/>
        <w:jc w:val="both"/>
        <w:rPr>
          <w:rFonts w:ascii="Verdana" w:hAnsi="Verdana"/>
        </w:rPr>
        <w:sectPr w:rsidR="0002292B" w:rsidSect="00355695">
          <w:headerReference w:type="default" r:id="rId11"/>
          <w:footerReference w:type="default" r:id="rId12"/>
          <w:pgSz w:w="16838" w:h="11906" w:orient="landscape"/>
          <w:pgMar w:top="1260" w:right="820" w:bottom="1440" w:left="1134" w:header="708" w:footer="708" w:gutter="0"/>
          <w:cols w:space="708"/>
          <w:docGrid w:linePitch="360"/>
        </w:sectPr>
      </w:pPr>
      <w:r>
        <w:object w:dxaOrig="14370" w:dyaOrig="10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75pt;height:459.75pt" o:ole="">
            <v:imagedata r:id="rId13" o:title=""/>
          </v:shape>
          <o:OLEObject Type="Embed" ProgID="Visio.Drawing.11" ShapeID="_x0000_i1025" DrawAspect="Content" ObjectID="_1551708989" r:id="rId14"/>
        </w:object>
      </w:r>
    </w:p>
    <w:p w:rsidR="0002292B" w:rsidRDefault="00B1091A" w:rsidP="00355695">
      <w:pPr>
        <w:ind w:left="993" w:hanging="993"/>
        <w:jc w:val="both"/>
        <w:rPr>
          <w:rFonts w:ascii="Verdana" w:hAnsi="Verdana"/>
        </w:rPr>
        <w:sectPr w:rsidR="0002292B" w:rsidSect="00355695">
          <w:headerReference w:type="default" r:id="rId15"/>
          <w:pgSz w:w="16838" w:h="11906" w:orient="landscape"/>
          <w:pgMar w:top="1260" w:right="820" w:bottom="1440" w:left="1134" w:header="708" w:footer="708" w:gutter="0"/>
          <w:cols w:space="708"/>
          <w:docGrid w:linePitch="360"/>
        </w:sectPr>
      </w:pPr>
      <w:r>
        <w:rPr>
          <w:rFonts w:ascii="Verdana" w:hAnsi="Verdana"/>
          <w:noProof/>
          <w:lang w:eastAsia="en-ZA"/>
        </w:rPr>
        <w:lastRenderedPageBreak/>
        <w:drawing>
          <wp:inline distT="0" distB="0" distL="0" distR="0" wp14:anchorId="222AB60A" wp14:editId="5B9655E7">
            <wp:extent cx="945578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55785" cy="5688330"/>
                    </a:xfrm>
                    <a:prstGeom prst="rect">
                      <a:avLst/>
                    </a:prstGeom>
                    <a:noFill/>
                  </pic:spPr>
                </pic:pic>
              </a:graphicData>
            </a:graphic>
          </wp:inline>
        </w:drawing>
      </w:r>
    </w:p>
    <w:p w:rsidR="001F41EF" w:rsidRDefault="001F41EF">
      <w:pPr>
        <w:spacing w:after="0"/>
        <w:ind w:left="993" w:hanging="993"/>
        <w:rPr>
          <w:rFonts w:ascii="Verdana" w:hAnsi="Verdana"/>
          <w:b/>
          <w:lang w:val="en-US"/>
        </w:rPr>
        <w:sectPr w:rsidR="001F41EF" w:rsidSect="00AB2491">
          <w:headerReference w:type="default" r:id="rId17"/>
          <w:pgSz w:w="11906" w:h="16838"/>
          <w:pgMar w:top="820" w:right="1440" w:bottom="1134" w:left="1260" w:header="708" w:footer="708" w:gutter="0"/>
          <w:cols w:space="708"/>
          <w:docGrid w:linePitch="360"/>
        </w:sectPr>
      </w:pPr>
      <w:r w:rsidRPr="001F41EF">
        <w:rPr>
          <w:noProof/>
          <w:lang w:eastAsia="en-ZA"/>
        </w:rPr>
        <w:lastRenderedPageBreak/>
        <w:drawing>
          <wp:inline distT="0" distB="0" distL="0" distR="0" wp14:anchorId="0E37B3C9" wp14:editId="09F8DA19">
            <wp:extent cx="5845810" cy="813291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5810" cy="8132917"/>
                    </a:xfrm>
                    <a:prstGeom prst="rect">
                      <a:avLst/>
                    </a:prstGeom>
                    <a:noFill/>
                    <a:ln>
                      <a:noFill/>
                    </a:ln>
                  </pic:spPr>
                </pic:pic>
              </a:graphicData>
            </a:graphic>
          </wp:inline>
        </w:drawing>
      </w:r>
    </w:p>
    <w:tbl>
      <w:tblPr>
        <w:tblW w:w="7829" w:type="dxa"/>
        <w:jc w:val="center"/>
        <w:tblLook w:val="04A0" w:firstRow="1" w:lastRow="0" w:firstColumn="1" w:lastColumn="0" w:noHBand="0" w:noVBand="1"/>
      </w:tblPr>
      <w:tblGrid>
        <w:gridCol w:w="3913"/>
        <w:gridCol w:w="1985"/>
        <w:gridCol w:w="1931"/>
      </w:tblGrid>
      <w:tr w:rsidR="006C5990" w:rsidRPr="00AB2491" w:rsidTr="00355695">
        <w:trPr>
          <w:trHeight w:val="420"/>
          <w:jc w:val="center"/>
        </w:trPr>
        <w:tc>
          <w:tcPr>
            <w:tcW w:w="7829" w:type="dxa"/>
            <w:gridSpan w:val="3"/>
            <w:tcBorders>
              <w:top w:val="nil"/>
              <w:left w:val="nil"/>
              <w:bottom w:val="nil"/>
              <w:right w:val="nil"/>
            </w:tcBorders>
            <w:shd w:val="clear" w:color="auto" w:fill="auto"/>
            <w:noWrap/>
            <w:hideMark/>
          </w:tcPr>
          <w:p w:rsidR="006C5990" w:rsidRPr="00AB2491" w:rsidRDefault="00D40CA2" w:rsidP="00355695">
            <w:pPr>
              <w:spacing w:after="0"/>
              <w:ind w:left="993" w:hanging="993"/>
              <w:rPr>
                <w:rFonts w:ascii="Verdana" w:hAnsi="Verdana"/>
                <w:lang w:val="en-US"/>
              </w:rPr>
            </w:pPr>
            <w:r w:rsidRPr="00AB2491">
              <w:rPr>
                <w:rFonts w:ascii="Verdana" w:hAnsi="Verdana"/>
                <w:b/>
                <w:lang w:val="en-US"/>
              </w:rPr>
              <w:lastRenderedPageBreak/>
              <w:t>AFISNET Circuits</w:t>
            </w:r>
          </w:p>
        </w:tc>
      </w:tr>
      <w:tr w:rsidR="006C5990" w:rsidRPr="00AB2491" w:rsidTr="00355695">
        <w:trPr>
          <w:trHeight w:val="608"/>
          <w:jc w:val="center"/>
        </w:trPr>
        <w:tc>
          <w:tcPr>
            <w:tcW w:w="3913" w:type="dxa"/>
            <w:tcBorders>
              <w:top w:val="single" w:sz="8" w:space="0" w:color="auto"/>
              <w:left w:val="single" w:sz="8" w:space="0" w:color="auto"/>
              <w:bottom w:val="single" w:sz="8" w:space="0" w:color="auto"/>
              <w:right w:val="single" w:sz="8" w:space="0" w:color="auto"/>
            </w:tcBorders>
            <w:shd w:val="clear" w:color="auto" w:fill="auto"/>
            <w:noWrap/>
          </w:tcPr>
          <w:p w:rsidR="00B1091A" w:rsidRPr="00AB2491" w:rsidRDefault="006C5990" w:rsidP="00355695">
            <w:pPr>
              <w:spacing w:after="0"/>
              <w:rPr>
                <w:rFonts w:ascii="Verdana" w:hAnsi="Verdana"/>
                <w:b/>
                <w:lang w:val="en-US"/>
              </w:rPr>
            </w:pPr>
            <w:r w:rsidRPr="00AB2491">
              <w:rPr>
                <w:rFonts w:ascii="Verdana" w:hAnsi="Verdana"/>
                <w:b/>
                <w:lang w:val="en-US"/>
              </w:rPr>
              <w:t>NAFISAT &amp; SADC Terminals connected to AFISNET</w:t>
            </w:r>
          </w:p>
        </w:tc>
        <w:tc>
          <w:tcPr>
            <w:tcW w:w="1985" w:type="dxa"/>
            <w:tcBorders>
              <w:top w:val="single" w:sz="8" w:space="0" w:color="auto"/>
              <w:left w:val="nil"/>
              <w:bottom w:val="single" w:sz="8" w:space="0" w:color="auto"/>
              <w:right w:val="single" w:sz="4" w:space="0" w:color="auto"/>
            </w:tcBorders>
            <w:shd w:val="clear" w:color="auto" w:fill="auto"/>
            <w:noWrap/>
            <w:hideMark/>
          </w:tcPr>
          <w:p w:rsidR="00B1091A" w:rsidRPr="00AB2491" w:rsidRDefault="00B1091A" w:rsidP="00355695">
            <w:pPr>
              <w:spacing w:after="0"/>
              <w:ind w:left="993" w:hanging="993"/>
              <w:rPr>
                <w:rFonts w:ascii="Verdana" w:hAnsi="Verdana"/>
                <w:b/>
                <w:lang w:val="en-US"/>
              </w:rPr>
            </w:pPr>
            <w:r w:rsidRPr="00AB2491">
              <w:rPr>
                <w:rFonts w:ascii="Verdana" w:hAnsi="Verdana"/>
                <w:b/>
                <w:lang w:val="en-US"/>
              </w:rPr>
              <w:t>AFTN</w:t>
            </w:r>
          </w:p>
        </w:tc>
        <w:tc>
          <w:tcPr>
            <w:tcW w:w="1931" w:type="dxa"/>
            <w:tcBorders>
              <w:top w:val="single" w:sz="8" w:space="0" w:color="auto"/>
              <w:left w:val="nil"/>
              <w:bottom w:val="single" w:sz="8" w:space="0" w:color="auto"/>
              <w:right w:val="single" w:sz="8" w:space="0" w:color="auto"/>
            </w:tcBorders>
            <w:shd w:val="clear" w:color="auto" w:fill="auto"/>
            <w:noWrap/>
            <w:hideMark/>
          </w:tcPr>
          <w:p w:rsidR="00B1091A" w:rsidRPr="00AB2491" w:rsidRDefault="00B1091A" w:rsidP="00355695">
            <w:pPr>
              <w:spacing w:after="0"/>
              <w:ind w:left="993" w:hanging="993"/>
              <w:rPr>
                <w:rFonts w:ascii="Verdana" w:hAnsi="Verdana"/>
                <w:b/>
                <w:lang w:val="en-US"/>
              </w:rPr>
            </w:pPr>
            <w:r w:rsidRPr="00AB2491">
              <w:rPr>
                <w:rFonts w:ascii="Verdana" w:hAnsi="Verdana"/>
                <w:b/>
                <w:lang w:val="en-US"/>
              </w:rPr>
              <w:t>ATS/DS</w:t>
            </w:r>
          </w:p>
        </w:tc>
      </w:tr>
      <w:tr w:rsidR="00B1091A" w:rsidRPr="00AB2491" w:rsidTr="00355695">
        <w:trPr>
          <w:trHeight w:val="20"/>
          <w:jc w:val="center"/>
        </w:trPr>
        <w:tc>
          <w:tcPr>
            <w:tcW w:w="3913" w:type="dxa"/>
            <w:tcBorders>
              <w:top w:val="single" w:sz="8" w:space="0" w:color="auto"/>
              <w:left w:val="single" w:sz="8" w:space="0" w:color="auto"/>
              <w:bottom w:val="single" w:sz="8" w:space="0" w:color="auto"/>
              <w:right w:val="single" w:sz="8" w:space="0" w:color="auto"/>
            </w:tcBorders>
            <w:shd w:val="clear" w:color="auto" w:fill="auto"/>
            <w:noWrap/>
            <w:hideMark/>
          </w:tcPr>
          <w:p w:rsidR="00B1091A" w:rsidRPr="00AB2491" w:rsidRDefault="00B1091A" w:rsidP="00355695">
            <w:pPr>
              <w:spacing w:after="0"/>
              <w:ind w:left="993" w:hanging="993"/>
              <w:rPr>
                <w:rFonts w:ascii="Verdana" w:hAnsi="Verdana"/>
                <w:lang w:val="en-US"/>
              </w:rPr>
            </w:pPr>
            <w:r w:rsidRPr="00AB2491">
              <w:rPr>
                <w:rFonts w:ascii="Verdana" w:hAnsi="Verdana"/>
                <w:lang w:val="en-US"/>
              </w:rPr>
              <w:t>Tripoli</w:t>
            </w:r>
          </w:p>
          <w:p w:rsidR="00B1091A" w:rsidRPr="00AB2491" w:rsidRDefault="00B1091A" w:rsidP="00355695">
            <w:pPr>
              <w:spacing w:after="0"/>
              <w:ind w:left="993" w:hanging="993"/>
              <w:rPr>
                <w:rFonts w:ascii="Verdana" w:hAnsi="Verdana"/>
                <w:lang w:val="en-US"/>
              </w:rPr>
            </w:pPr>
            <w:r w:rsidRPr="00AB2491">
              <w:rPr>
                <w:rFonts w:ascii="Verdana" w:hAnsi="Verdana"/>
                <w:lang w:val="en-US"/>
              </w:rPr>
              <w:t> </w:t>
            </w:r>
          </w:p>
        </w:tc>
        <w:tc>
          <w:tcPr>
            <w:tcW w:w="1985" w:type="dxa"/>
            <w:tcBorders>
              <w:top w:val="single" w:sz="8" w:space="0" w:color="auto"/>
              <w:left w:val="nil"/>
              <w:bottom w:val="single" w:sz="8" w:space="0" w:color="auto"/>
              <w:right w:val="single" w:sz="4" w:space="0" w:color="auto"/>
            </w:tcBorders>
            <w:shd w:val="clear" w:color="auto" w:fill="auto"/>
            <w:noWrap/>
            <w:hideMark/>
          </w:tcPr>
          <w:p w:rsidR="004D27D9" w:rsidRPr="00AB2491" w:rsidRDefault="00B1091A" w:rsidP="00355695">
            <w:pPr>
              <w:spacing w:after="0" w:line="240" w:lineRule="auto"/>
              <w:ind w:left="993" w:hanging="993"/>
              <w:rPr>
                <w:rFonts w:ascii="Verdana" w:hAnsi="Verdana"/>
                <w:lang w:val="en-US"/>
              </w:rPr>
            </w:pPr>
            <w:r w:rsidRPr="00AB2491">
              <w:rPr>
                <w:rFonts w:ascii="Verdana" w:hAnsi="Verdana"/>
                <w:lang w:val="en-US"/>
              </w:rPr>
              <w:t>Niamey</w:t>
            </w:r>
          </w:p>
          <w:p w:rsidR="004D27D9" w:rsidRPr="00AB2491" w:rsidRDefault="00B1091A" w:rsidP="00355695">
            <w:pPr>
              <w:spacing w:after="0" w:line="240" w:lineRule="auto"/>
              <w:ind w:left="993" w:hanging="993"/>
              <w:rPr>
                <w:rFonts w:ascii="Verdana" w:hAnsi="Verdana"/>
                <w:lang w:val="en-US"/>
              </w:rPr>
            </w:pPr>
            <w:r w:rsidRPr="00AB2491">
              <w:rPr>
                <w:rFonts w:ascii="Verdana" w:hAnsi="Verdana"/>
                <w:lang w:val="en-US"/>
              </w:rPr>
              <w:t>N'Djamena</w:t>
            </w:r>
          </w:p>
          <w:p w:rsidR="00AB2491" w:rsidRPr="00AB2491" w:rsidRDefault="00AB2491" w:rsidP="00355695">
            <w:pPr>
              <w:spacing w:after="0" w:line="240" w:lineRule="auto"/>
              <w:ind w:left="993" w:hanging="993"/>
              <w:rPr>
                <w:rFonts w:ascii="Verdana" w:hAnsi="Verdana"/>
                <w:lang w:val="en-US"/>
              </w:rPr>
            </w:pPr>
          </w:p>
        </w:tc>
        <w:tc>
          <w:tcPr>
            <w:tcW w:w="1931" w:type="dxa"/>
            <w:tcBorders>
              <w:top w:val="single" w:sz="8" w:space="0" w:color="auto"/>
              <w:left w:val="nil"/>
              <w:bottom w:val="single" w:sz="8" w:space="0" w:color="auto"/>
              <w:right w:val="single" w:sz="8" w:space="0" w:color="auto"/>
            </w:tcBorders>
            <w:shd w:val="clear" w:color="auto" w:fill="auto"/>
            <w:noWrap/>
            <w:hideMark/>
          </w:tcPr>
          <w:p w:rsidR="00B1091A" w:rsidRPr="00AB2491" w:rsidRDefault="00B1091A" w:rsidP="00355695">
            <w:pPr>
              <w:spacing w:after="0" w:line="240" w:lineRule="auto"/>
              <w:ind w:left="993" w:hanging="993"/>
              <w:rPr>
                <w:rFonts w:ascii="Verdana" w:hAnsi="Verdana"/>
                <w:lang w:val="en-US"/>
              </w:rPr>
            </w:pPr>
            <w:r w:rsidRPr="00AB2491">
              <w:rPr>
                <w:rFonts w:ascii="Verdana" w:hAnsi="Verdana"/>
                <w:lang w:val="en-US"/>
              </w:rPr>
              <w:t>Niamey</w:t>
            </w:r>
          </w:p>
          <w:p w:rsidR="00B1091A" w:rsidRPr="00AB2491" w:rsidRDefault="00B1091A" w:rsidP="00355695">
            <w:pPr>
              <w:spacing w:after="0" w:line="240" w:lineRule="auto"/>
              <w:ind w:left="993" w:hanging="993"/>
              <w:rPr>
                <w:rFonts w:ascii="Verdana" w:hAnsi="Verdana"/>
                <w:lang w:val="en-US"/>
              </w:rPr>
            </w:pPr>
            <w:r w:rsidRPr="00AB2491">
              <w:rPr>
                <w:rFonts w:ascii="Verdana" w:hAnsi="Verdana"/>
                <w:lang w:val="en-US"/>
              </w:rPr>
              <w:t>N'Djamena</w:t>
            </w:r>
          </w:p>
        </w:tc>
      </w:tr>
      <w:tr w:rsidR="00B1091A" w:rsidRPr="00AB2491" w:rsidTr="00355695">
        <w:trPr>
          <w:trHeight w:val="20"/>
          <w:jc w:val="center"/>
        </w:trPr>
        <w:tc>
          <w:tcPr>
            <w:tcW w:w="3913" w:type="dxa"/>
            <w:tcBorders>
              <w:top w:val="single" w:sz="8" w:space="0" w:color="auto"/>
              <w:left w:val="single" w:sz="8" w:space="0" w:color="auto"/>
              <w:bottom w:val="single" w:sz="8" w:space="0" w:color="auto"/>
              <w:right w:val="single" w:sz="8" w:space="0" w:color="auto"/>
            </w:tcBorders>
            <w:shd w:val="clear" w:color="auto" w:fill="auto"/>
            <w:noWrap/>
            <w:hideMark/>
          </w:tcPr>
          <w:p w:rsidR="00B1091A" w:rsidRPr="00AB2491" w:rsidRDefault="00B1091A" w:rsidP="00355695">
            <w:pPr>
              <w:spacing w:after="0"/>
              <w:ind w:left="993" w:hanging="993"/>
              <w:rPr>
                <w:rFonts w:ascii="Verdana" w:hAnsi="Verdana"/>
                <w:lang w:val="en-US"/>
              </w:rPr>
            </w:pPr>
            <w:r w:rsidRPr="00AB2491">
              <w:rPr>
                <w:rFonts w:ascii="Verdana" w:hAnsi="Verdana"/>
                <w:lang w:val="en-US"/>
              </w:rPr>
              <w:t>Khartoum</w:t>
            </w:r>
          </w:p>
        </w:tc>
        <w:tc>
          <w:tcPr>
            <w:tcW w:w="1985" w:type="dxa"/>
            <w:tcBorders>
              <w:top w:val="single" w:sz="8" w:space="0" w:color="auto"/>
              <w:left w:val="nil"/>
              <w:bottom w:val="single" w:sz="8" w:space="0" w:color="auto"/>
              <w:right w:val="single" w:sz="4" w:space="0" w:color="auto"/>
            </w:tcBorders>
            <w:shd w:val="clear" w:color="auto" w:fill="auto"/>
            <w:noWrap/>
            <w:hideMark/>
          </w:tcPr>
          <w:p w:rsidR="00B1091A" w:rsidRPr="00AB2491" w:rsidRDefault="00B1091A" w:rsidP="00355695">
            <w:pPr>
              <w:spacing w:after="0" w:line="240" w:lineRule="auto"/>
              <w:ind w:left="993" w:hanging="993"/>
              <w:rPr>
                <w:rFonts w:ascii="Verdana" w:hAnsi="Verdana"/>
                <w:lang w:val="en-US"/>
              </w:rPr>
            </w:pPr>
            <w:r w:rsidRPr="00AB2491">
              <w:rPr>
                <w:rFonts w:ascii="Verdana" w:hAnsi="Verdana"/>
                <w:lang w:val="en-US"/>
              </w:rPr>
              <w:t>N'Djamena</w:t>
            </w:r>
          </w:p>
        </w:tc>
        <w:tc>
          <w:tcPr>
            <w:tcW w:w="1931" w:type="dxa"/>
            <w:tcBorders>
              <w:top w:val="single" w:sz="8" w:space="0" w:color="auto"/>
              <w:left w:val="nil"/>
              <w:bottom w:val="single" w:sz="8" w:space="0" w:color="auto"/>
              <w:right w:val="single" w:sz="8" w:space="0" w:color="auto"/>
            </w:tcBorders>
            <w:shd w:val="clear" w:color="auto" w:fill="auto"/>
            <w:noWrap/>
            <w:hideMark/>
          </w:tcPr>
          <w:p w:rsidR="00B1091A" w:rsidRPr="00AB2491" w:rsidRDefault="00B1091A" w:rsidP="00355695">
            <w:pPr>
              <w:spacing w:after="0" w:line="240" w:lineRule="auto"/>
              <w:ind w:left="993" w:hanging="993"/>
              <w:rPr>
                <w:rFonts w:ascii="Verdana" w:hAnsi="Verdana"/>
                <w:lang w:val="en-US"/>
              </w:rPr>
            </w:pPr>
            <w:r w:rsidRPr="00AB2491">
              <w:rPr>
                <w:rFonts w:ascii="Verdana" w:hAnsi="Verdana"/>
                <w:lang w:val="en-US"/>
              </w:rPr>
              <w:t>N'Djamena</w:t>
            </w:r>
          </w:p>
          <w:p w:rsidR="00B1091A" w:rsidRPr="00AB2491" w:rsidRDefault="00B1091A" w:rsidP="00355695">
            <w:pPr>
              <w:spacing w:after="0" w:line="240" w:lineRule="auto"/>
              <w:ind w:left="993" w:hanging="993"/>
              <w:rPr>
                <w:rFonts w:ascii="Verdana" w:hAnsi="Verdana"/>
                <w:lang w:val="en-US"/>
              </w:rPr>
            </w:pPr>
            <w:r w:rsidRPr="00AB2491">
              <w:rPr>
                <w:rFonts w:ascii="Verdana" w:hAnsi="Verdana"/>
                <w:lang w:val="en-US"/>
              </w:rPr>
              <w:t>Brazzaville</w:t>
            </w:r>
          </w:p>
          <w:p w:rsidR="00AB2491" w:rsidRPr="00AB2491" w:rsidRDefault="00AB2491" w:rsidP="00355695">
            <w:pPr>
              <w:spacing w:after="0" w:line="240" w:lineRule="auto"/>
              <w:ind w:left="993" w:hanging="993"/>
              <w:rPr>
                <w:rFonts w:ascii="Verdana" w:hAnsi="Verdana"/>
                <w:lang w:val="en-US"/>
              </w:rPr>
            </w:pPr>
          </w:p>
        </w:tc>
      </w:tr>
      <w:tr w:rsidR="00B1091A" w:rsidRPr="00AB2491" w:rsidTr="00355695">
        <w:trPr>
          <w:trHeight w:val="20"/>
          <w:jc w:val="center"/>
        </w:trPr>
        <w:tc>
          <w:tcPr>
            <w:tcW w:w="3913" w:type="dxa"/>
            <w:tcBorders>
              <w:top w:val="single" w:sz="8" w:space="0" w:color="auto"/>
              <w:left w:val="single" w:sz="8" w:space="0" w:color="auto"/>
              <w:bottom w:val="single" w:sz="4" w:space="0" w:color="auto"/>
              <w:right w:val="single" w:sz="8" w:space="0" w:color="auto"/>
            </w:tcBorders>
            <w:shd w:val="clear" w:color="auto" w:fill="auto"/>
            <w:noWrap/>
            <w:hideMark/>
          </w:tcPr>
          <w:p w:rsidR="00B1091A" w:rsidRPr="00AB2491" w:rsidRDefault="00B1091A" w:rsidP="00355695">
            <w:pPr>
              <w:spacing w:after="0"/>
              <w:ind w:left="993" w:hanging="993"/>
              <w:rPr>
                <w:rFonts w:ascii="Verdana" w:hAnsi="Verdana"/>
                <w:lang w:val="en-US"/>
              </w:rPr>
            </w:pPr>
            <w:r w:rsidRPr="00AB2491">
              <w:rPr>
                <w:rFonts w:ascii="Verdana" w:hAnsi="Verdana"/>
                <w:lang w:val="en-US"/>
              </w:rPr>
              <w:t>Addis Ababa</w:t>
            </w:r>
          </w:p>
        </w:tc>
        <w:tc>
          <w:tcPr>
            <w:tcW w:w="1985" w:type="dxa"/>
            <w:tcBorders>
              <w:top w:val="single" w:sz="8" w:space="0" w:color="auto"/>
              <w:left w:val="nil"/>
              <w:bottom w:val="single" w:sz="4" w:space="0" w:color="auto"/>
              <w:right w:val="single" w:sz="4" w:space="0" w:color="auto"/>
            </w:tcBorders>
            <w:shd w:val="clear" w:color="auto" w:fill="auto"/>
            <w:noWrap/>
            <w:hideMark/>
          </w:tcPr>
          <w:p w:rsidR="00B1091A" w:rsidRPr="00AB2491" w:rsidRDefault="00B1091A" w:rsidP="00355695">
            <w:pPr>
              <w:spacing w:after="0" w:line="240" w:lineRule="auto"/>
              <w:ind w:left="993" w:hanging="993"/>
              <w:rPr>
                <w:rFonts w:ascii="Verdana" w:hAnsi="Verdana"/>
                <w:lang w:val="en-US"/>
              </w:rPr>
            </w:pPr>
            <w:r w:rsidRPr="00AB2491">
              <w:rPr>
                <w:rFonts w:ascii="Verdana" w:hAnsi="Verdana"/>
                <w:lang w:val="en-US"/>
              </w:rPr>
              <w:t>Niamey</w:t>
            </w:r>
          </w:p>
          <w:p w:rsidR="00AB2491" w:rsidRPr="00AB2491" w:rsidRDefault="00AB2491" w:rsidP="00355695">
            <w:pPr>
              <w:spacing w:after="0" w:line="240" w:lineRule="auto"/>
              <w:ind w:left="993" w:hanging="993"/>
              <w:rPr>
                <w:rFonts w:ascii="Verdana" w:hAnsi="Verdana"/>
                <w:lang w:val="en-US"/>
              </w:rPr>
            </w:pPr>
          </w:p>
        </w:tc>
        <w:tc>
          <w:tcPr>
            <w:tcW w:w="1931" w:type="dxa"/>
            <w:tcBorders>
              <w:top w:val="single" w:sz="8" w:space="0" w:color="auto"/>
              <w:left w:val="nil"/>
              <w:bottom w:val="single" w:sz="4" w:space="0" w:color="auto"/>
              <w:right w:val="single" w:sz="8" w:space="0" w:color="auto"/>
            </w:tcBorders>
            <w:shd w:val="clear" w:color="auto" w:fill="auto"/>
            <w:noWrap/>
            <w:hideMark/>
          </w:tcPr>
          <w:p w:rsidR="00B1091A" w:rsidRPr="00AB2491" w:rsidRDefault="00B1091A" w:rsidP="00355695">
            <w:pPr>
              <w:spacing w:after="0" w:line="240" w:lineRule="auto"/>
              <w:ind w:left="993" w:hanging="993"/>
              <w:rPr>
                <w:rFonts w:ascii="Verdana" w:hAnsi="Verdana"/>
                <w:lang w:val="en-US"/>
              </w:rPr>
            </w:pPr>
            <w:r w:rsidRPr="00AB2491">
              <w:rPr>
                <w:rFonts w:ascii="Verdana" w:hAnsi="Verdana"/>
                <w:lang w:val="en-US"/>
              </w:rPr>
              <w:t> </w:t>
            </w:r>
          </w:p>
        </w:tc>
      </w:tr>
      <w:tr w:rsidR="00B1091A" w:rsidRPr="00AB2491" w:rsidTr="00355695">
        <w:trPr>
          <w:trHeight w:val="20"/>
          <w:jc w:val="center"/>
        </w:trPr>
        <w:tc>
          <w:tcPr>
            <w:tcW w:w="3913" w:type="dxa"/>
            <w:tcBorders>
              <w:top w:val="single" w:sz="8" w:space="0" w:color="auto"/>
              <w:left w:val="single" w:sz="8" w:space="0" w:color="auto"/>
              <w:bottom w:val="single" w:sz="4" w:space="0" w:color="auto"/>
              <w:right w:val="single" w:sz="8" w:space="0" w:color="auto"/>
            </w:tcBorders>
            <w:shd w:val="clear" w:color="auto" w:fill="auto"/>
            <w:noWrap/>
          </w:tcPr>
          <w:p w:rsidR="00B1091A" w:rsidRPr="00AB2491" w:rsidRDefault="00B1091A" w:rsidP="00355695">
            <w:pPr>
              <w:spacing w:after="0"/>
              <w:ind w:left="993" w:hanging="993"/>
              <w:rPr>
                <w:rFonts w:ascii="Verdana" w:hAnsi="Verdana"/>
                <w:lang w:val="en-US"/>
              </w:rPr>
            </w:pPr>
            <w:r w:rsidRPr="00AB2491">
              <w:rPr>
                <w:rFonts w:ascii="Verdana" w:hAnsi="Verdana"/>
                <w:lang w:val="en-US"/>
              </w:rPr>
              <w:t>Nairobi</w:t>
            </w:r>
          </w:p>
        </w:tc>
        <w:tc>
          <w:tcPr>
            <w:tcW w:w="1985" w:type="dxa"/>
            <w:tcBorders>
              <w:top w:val="single" w:sz="8" w:space="0" w:color="auto"/>
              <w:left w:val="nil"/>
              <w:bottom w:val="single" w:sz="4" w:space="0" w:color="auto"/>
              <w:right w:val="single" w:sz="4" w:space="0" w:color="auto"/>
            </w:tcBorders>
            <w:shd w:val="clear" w:color="auto" w:fill="auto"/>
            <w:noWrap/>
          </w:tcPr>
          <w:p w:rsidR="00B1091A" w:rsidRPr="00AB2491" w:rsidRDefault="00B1091A" w:rsidP="00355695">
            <w:pPr>
              <w:spacing w:after="0" w:line="240" w:lineRule="auto"/>
              <w:ind w:left="993" w:hanging="993"/>
              <w:rPr>
                <w:rFonts w:ascii="Verdana" w:hAnsi="Verdana"/>
                <w:lang w:val="en-US"/>
              </w:rPr>
            </w:pPr>
            <w:r w:rsidRPr="00AB2491">
              <w:rPr>
                <w:rFonts w:ascii="Verdana" w:hAnsi="Verdana"/>
                <w:lang w:val="en-US"/>
              </w:rPr>
              <w:t>Brazzaville</w:t>
            </w:r>
          </w:p>
          <w:p w:rsidR="00AB2491" w:rsidRPr="00AB2491" w:rsidRDefault="00AB2491" w:rsidP="00355695">
            <w:pPr>
              <w:spacing w:after="0" w:line="240" w:lineRule="auto"/>
              <w:ind w:left="993" w:hanging="993"/>
              <w:rPr>
                <w:rFonts w:ascii="Verdana" w:hAnsi="Verdana"/>
                <w:lang w:val="en-US"/>
              </w:rPr>
            </w:pPr>
          </w:p>
        </w:tc>
        <w:tc>
          <w:tcPr>
            <w:tcW w:w="1931" w:type="dxa"/>
            <w:tcBorders>
              <w:top w:val="single" w:sz="8" w:space="0" w:color="auto"/>
              <w:left w:val="nil"/>
              <w:bottom w:val="single" w:sz="4" w:space="0" w:color="auto"/>
              <w:right w:val="single" w:sz="8" w:space="0" w:color="auto"/>
            </w:tcBorders>
            <w:shd w:val="clear" w:color="auto" w:fill="auto"/>
            <w:noWrap/>
          </w:tcPr>
          <w:p w:rsidR="00B1091A" w:rsidRPr="00AB2491" w:rsidRDefault="00B1091A" w:rsidP="00355695">
            <w:pPr>
              <w:spacing w:after="0" w:line="240" w:lineRule="auto"/>
              <w:ind w:left="993" w:hanging="993"/>
              <w:rPr>
                <w:rFonts w:ascii="Verdana" w:hAnsi="Verdana"/>
                <w:lang w:val="en-US"/>
              </w:rPr>
            </w:pPr>
          </w:p>
        </w:tc>
      </w:tr>
      <w:tr w:rsidR="00B1091A" w:rsidRPr="00AB2491" w:rsidTr="00355695">
        <w:trPr>
          <w:trHeight w:val="20"/>
          <w:jc w:val="center"/>
        </w:trPr>
        <w:tc>
          <w:tcPr>
            <w:tcW w:w="3913" w:type="dxa"/>
            <w:tcBorders>
              <w:top w:val="single" w:sz="4" w:space="0" w:color="auto"/>
              <w:left w:val="single" w:sz="8" w:space="0" w:color="auto"/>
              <w:bottom w:val="single" w:sz="8" w:space="0" w:color="auto"/>
              <w:right w:val="single" w:sz="8" w:space="0" w:color="auto"/>
            </w:tcBorders>
            <w:shd w:val="clear" w:color="auto" w:fill="auto"/>
            <w:noWrap/>
            <w:hideMark/>
          </w:tcPr>
          <w:p w:rsidR="00B1091A" w:rsidRPr="00355695" w:rsidRDefault="00B1091A" w:rsidP="00355695">
            <w:pPr>
              <w:spacing w:after="0"/>
              <w:ind w:left="993" w:hanging="993"/>
              <w:rPr>
                <w:rFonts w:ascii="Verdana" w:hAnsi="Verdana"/>
                <w:highlight w:val="yellow"/>
                <w:lang w:val="en-US"/>
              </w:rPr>
            </w:pPr>
            <w:r w:rsidRPr="00355695">
              <w:rPr>
                <w:rFonts w:ascii="Verdana" w:hAnsi="Verdana"/>
                <w:highlight w:val="yellow"/>
                <w:lang w:val="en-US"/>
              </w:rPr>
              <w:t>Luanda</w:t>
            </w:r>
          </w:p>
        </w:tc>
        <w:tc>
          <w:tcPr>
            <w:tcW w:w="1985" w:type="dxa"/>
            <w:tcBorders>
              <w:top w:val="single" w:sz="4" w:space="0" w:color="auto"/>
              <w:left w:val="nil"/>
              <w:bottom w:val="single" w:sz="8" w:space="0" w:color="auto"/>
              <w:right w:val="single" w:sz="4" w:space="0" w:color="auto"/>
            </w:tcBorders>
            <w:shd w:val="clear" w:color="auto" w:fill="auto"/>
            <w:noWrap/>
            <w:hideMark/>
          </w:tcPr>
          <w:p w:rsidR="00B1091A" w:rsidRPr="00355695" w:rsidRDefault="00B1091A" w:rsidP="00355695">
            <w:pPr>
              <w:spacing w:after="0" w:line="240" w:lineRule="auto"/>
              <w:ind w:left="993" w:hanging="993"/>
              <w:rPr>
                <w:rFonts w:ascii="Verdana" w:hAnsi="Verdana"/>
                <w:highlight w:val="yellow"/>
                <w:lang w:val="en-US"/>
              </w:rPr>
            </w:pPr>
            <w:r w:rsidRPr="00355695">
              <w:rPr>
                <w:rFonts w:ascii="Verdana" w:hAnsi="Verdana"/>
                <w:highlight w:val="yellow"/>
                <w:lang w:val="en-US"/>
              </w:rPr>
              <w:t>Brazzaville</w:t>
            </w:r>
          </w:p>
          <w:p w:rsidR="00B1091A" w:rsidRPr="00355695" w:rsidRDefault="00B1091A" w:rsidP="00355695">
            <w:pPr>
              <w:spacing w:after="0" w:line="240" w:lineRule="auto"/>
              <w:ind w:left="993" w:hanging="993"/>
              <w:rPr>
                <w:rFonts w:ascii="Verdana" w:hAnsi="Verdana"/>
                <w:highlight w:val="yellow"/>
                <w:lang w:val="en-US"/>
              </w:rPr>
            </w:pPr>
            <w:r w:rsidRPr="00355695">
              <w:rPr>
                <w:rFonts w:ascii="Verdana" w:hAnsi="Verdana"/>
                <w:highlight w:val="yellow"/>
                <w:lang w:val="en-US"/>
              </w:rPr>
              <w:t>Accra</w:t>
            </w:r>
          </w:p>
        </w:tc>
        <w:tc>
          <w:tcPr>
            <w:tcW w:w="1931" w:type="dxa"/>
            <w:tcBorders>
              <w:top w:val="single" w:sz="4" w:space="0" w:color="auto"/>
              <w:left w:val="nil"/>
              <w:bottom w:val="single" w:sz="8" w:space="0" w:color="auto"/>
              <w:right w:val="single" w:sz="8" w:space="0" w:color="auto"/>
            </w:tcBorders>
            <w:shd w:val="clear" w:color="auto" w:fill="auto"/>
            <w:noWrap/>
            <w:hideMark/>
          </w:tcPr>
          <w:p w:rsidR="00B1091A" w:rsidRPr="00355695" w:rsidRDefault="00B1091A" w:rsidP="00355695">
            <w:pPr>
              <w:spacing w:after="0" w:line="240" w:lineRule="auto"/>
              <w:ind w:left="993" w:hanging="993"/>
              <w:rPr>
                <w:rFonts w:ascii="Verdana" w:hAnsi="Verdana"/>
                <w:highlight w:val="yellow"/>
                <w:lang w:val="en-US"/>
              </w:rPr>
            </w:pPr>
            <w:r w:rsidRPr="00355695">
              <w:rPr>
                <w:rFonts w:ascii="Verdana" w:hAnsi="Verdana"/>
                <w:highlight w:val="yellow"/>
                <w:lang w:val="en-US"/>
              </w:rPr>
              <w:t>Brazzaville</w:t>
            </w:r>
          </w:p>
          <w:p w:rsidR="00B1091A" w:rsidRPr="00355695" w:rsidRDefault="00B1091A" w:rsidP="00355695">
            <w:pPr>
              <w:spacing w:after="0" w:line="240" w:lineRule="auto"/>
              <w:ind w:left="993" w:hanging="993"/>
              <w:rPr>
                <w:rFonts w:ascii="Verdana" w:hAnsi="Verdana"/>
                <w:highlight w:val="yellow"/>
                <w:lang w:val="en-US"/>
              </w:rPr>
            </w:pPr>
            <w:r w:rsidRPr="00355695">
              <w:rPr>
                <w:rFonts w:ascii="Verdana" w:hAnsi="Verdana"/>
                <w:highlight w:val="yellow"/>
                <w:lang w:val="en-US"/>
              </w:rPr>
              <w:t>Accra</w:t>
            </w:r>
          </w:p>
          <w:p w:rsidR="00B1091A" w:rsidRPr="00355695" w:rsidRDefault="00B1091A" w:rsidP="00355695">
            <w:pPr>
              <w:spacing w:after="0" w:line="240" w:lineRule="auto"/>
              <w:ind w:left="993" w:hanging="993"/>
              <w:rPr>
                <w:rFonts w:ascii="Verdana" w:hAnsi="Verdana"/>
                <w:highlight w:val="yellow"/>
                <w:lang w:val="en-US"/>
              </w:rPr>
            </w:pPr>
            <w:r w:rsidRPr="00355695">
              <w:rPr>
                <w:rFonts w:ascii="Verdana" w:hAnsi="Verdana"/>
                <w:highlight w:val="yellow"/>
                <w:lang w:val="en-US"/>
              </w:rPr>
              <w:t>Abidjan</w:t>
            </w:r>
          </w:p>
          <w:p w:rsidR="00B1091A" w:rsidRPr="00355695" w:rsidRDefault="00B1091A" w:rsidP="00355695">
            <w:pPr>
              <w:spacing w:after="0" w:line="240" w:lineRule="auto"/>
              <w:ind w:left="993" w:hanging="993"/>
              <w:rPr>
                <w:rFonts w:ascii="Verdana" w:hAnsi="Verdana"/>
                <w:highlight w:val="yellow"/>
                <w:lang w:val="en-US"/>
              </w:rPr>
            </w:pPr>
            <w:r w:rsidRPr="00355695">
              <w:rPr>
                <w:rFonts w:ascii="Verdana" w:hAnsi="Verdana"/>
                <w:highlight w:val="yellow"/>
                <w:lang w:val="en-US"/>
              </w:rPr>
              <w:t>Dakar</w:t>
            </w:r>
          </w:p>
          <w:p w:rsidR="00AB2491" w:rsidRPr="00355695" w:rsidRDefault="00AB2491" w:rsidP="00355695">
            <w:pPr>
              <w:spacing w:after="0" w:line="240" w:lineRule="auto"/>
              <w:ind w:left="993" w:hanging="993"/>
              <w:rPr>
                <w:rFonts w:ascii="Verdana" w:hAnsi="Verdana"/>
                <w:highlight w:val="yellow"/>
                <w:lang w:val="en-US"/>
              </w:rPr>
            </w:pPr>
          </w:p>
        </w:tc>
      </w:tr>
      <w:tr w:rsidR="00B1091A" w:rsidRPr="00AB2491" w:rsidTr="00355695">
        <w:trPr>
          <w:trHeight w:val="20"/>
          <w:jc w:val="center"/>
        </w:trPr>
        <w:tc>
          <w:tcPr>
            <w:tcW w:w="3913" w:type="dxa"/>
            <w:tcBorders>
              <w:top w:val="single" w:sz="8" w:space="0" w:color="auto"/>
              <w:left w:val="single" w:sz="8" w:space="0" w:color="auto"/>
              <w:bottom w:val="single" w:sz="4" w:space="0" w:color="auto"/>
              <w:right w:val="single" w:sz="8" w:space="0" w:color="auto"/>
            </w:tcBorders>
            <w:shd w:val="clear" w:color="auto" w:fill="auto"/>
            <w:noWrap/>
            <w:hideMark/>
          </w:tcPr>
          <w:p w:rsidR="00B1091A" w:rsidRPr="00AB2491" w:rsidRDefault="00B1091A" w:rsidP="00355695">
            <w:pPr>
              <w:spacing w:after="0"/>
              <w:ind w:left="993" w:hanging="993"/>
              <w:rPr>
                <w:rFonts w:ascii="Verdana" w:hAnsi="Verdana"/>
                <w:lang w:val="en-US"/>
              </w:rPr>
            </w:pPr>
            <w:r w:rsidRPr="00AB2491">
              <w:rPr>
                <w:rFonts w:ascii="Verdana" w:hAnsi="Verdana"/>
                <w:lang w:val="en-US"/>
              </w:rPr>
              <w:t>Kinshasa</w:t>
            </w:r>
          </w:p>
        </w:tc>
        <w:tc>
          <w:tcPr>
            <w:tcW w:w="1985" w:type="dxa"/>
            <w:tcBorders>
              <w:top w:val="single" w:sz="8" w:space="0" w:color="auto"/>
              <w:left w:val="nil"/>
              <w:bottom w:val="single" w:sz="4" w:space="0" w:color="auto"/>
              <w:right w:val="single" w:sz="4" w:space="0" w:color="auto"/>
            </w:tcBorders>
            <w:shd w:val="clear" w:color="auto" w:fill="auto"/>
            <w:noWrap/>
            <w:hideMark/>
          </w:tcPr>
          <w:p w:rsidR="00B1091A" w:rsidRPr="00AB2491" w:rsidRDefault="00B1091A" w:rsidP="00355695">
            <w:pPr>
              <w:spacing w:after="0" w:line="240" w:lineRule="auto"/>
              <w:ind w:left="993" w:hanging="993"/>
              <w:rPr>
                <w:rFonts w:ascii="Verdana" w:hAnsi="Verdana"/>
                <w:lang w:val="en-US"/>
              </w:rPr>
            </w:pPr>
            <w:r w:rsidRPr="00AB2491">
              <w:rPr>
                <w:rFonts w:ascii="Verdana" w:hAnsi="Verdana"/>
                <w:lang w:val="en-US"/>
              </w:rPr>
              <w:t>Brazzaville</w:t>
            </w:r>
          </w:p>
        </w:tc>
        <w:tc>
          <w:tcPr>
            <w:tcW w:w="1931" w:type="dxa"/>
            <w:tcBorders>
              <w:top w:val="single" w:sz="8" w:space="0" w:color="auto"/>
              <w:left w:val="nil"/>
              <w:bottom w:val="single" w:sz="4" w:space="0" w:color="auto"/>
              <w:right w:val="single" w:sz="8" w:space="0" w:color="auto"/>
            </w:tcBorders>
            <w:shd w:val="clear" w:color="auto" w:fill="auto"/>
            <w:noWrap/>
            <w:hideMark/>
          </w:tcPr>
          <w:p w:rsidR="00B1091A" w:rsidRPr="00AB2491" w:rsidRDefault="00B1091A" w:rsidP="00355695">
            <w:pPr>
              <w:spacing w:after="0" w:line="240" w:lineRule="auto"/>
              <w:ind w:left="993" w:hanging="993"/>
              <w:rPr>
                <w:rFonts w:ascii="Verdana" w:hAnsi="Verdana"/>
                <w:lang w:val="en-US"/>
              </w:rPr>
            </w:pPr>
            <w:r w:rsidRPr="00AB2491">
              <w:rPr>
                <w:rFonts w:ascii="Verdana" w:hAnsi="Verdana"/>
                <w:lang w:val="en-US"/>
              </w:rPr>
              <w:t>Brazzaville</w:t>
            </w:r>
          </w:p>
          <w:p w:rsidR="00AB2491" w:rsidRPr="00AB2491" w:rsidRDefault="00AB2491" w:rsidP="00355695">
            <w:pPr>
              <w:spacing w:after="0" w:line="240" w:lineRule="auto"/>
              <w:ind w:left="993" w:hanging="993"/>
              <w:rPr>
                <w:rFonts w:ascii="Verdana" w:hAnsi="Verdana"/>
                <w:lang w:val="en-US"/>
              </w:rPr>
            </w:pPr>
          </w:p>
        </w:tc>
      </w:tr>
    </w:tbl>
    <w:p w:rsidR="0002292B" w:rsidRDefault="0002292B" w:rsidP="00355695">
      <w:pPr>
        <w:ind w:left="993" w:hanging="993"/>
        <w:jc w:val="both"/>
        <w:rPr>
          <w:rFonts w:ascii="Verdana" w:hAnsi="Verdana"/>
        </w:rPr>
      </w:pPr>
    </w:p>
    <w:p w:rsidR="008C5444" w:rsidRDefault="008C5444">
      <w:pPr>
        <w:ind w:left="993" w:hanging="993"/>
        <w:jc w:val="both"/>
        <w:rPr>
          <w:rFonts w:ascii="Verdana" w:hAnsi="Verdana"/>
        </w:rPr>
        <w:sectPr w:rsidR="008C5444" w:rsidSect="00AB2491">
          <w:headerReference w:type="default" r:id="rId19"/>
          <w:pgSz w:w="11906" w:h="16838"/>
          <w:pgMar w:top="820" w:right="1440" w:bottom="1134" w:left="1260" w:header="708" w:footer="708" w:gutter="0"/>
          <w:cols w:space="708"/>
          <w:docGrid w:linePitch="360"/>
        </w:sectPr>
      </w:pPr>
    </w:p>
    <w:p w:rsidR="00B1091A" w:rsidRDefault="00B1091A" w:rsidP="00355695">
      <w:pPr>
        <w:ind w:left="993" w:hanging="993"/>
        <w:jc w:val="both"/>
        <w:rPr>
          <w:rFonts w:ascii="Verdana" w:hAnsi="Verdana"/>
        </w:rPr>
      </w:pPr>
    </w:p>
    <w:p w:rsidR="008C5444" w:rsidRDefault="008C5444" w:rsidP="00355695">
      <w:pPr>
        <w:ind w:left="993" w:hanging="993"/>
        <w:jc w:val="both"/>
        <w:rPr>
          <w:rFonts w:ascii="Verdana" w:hAnsi="Verdana"/>
        </w:rPr>
      </w:pPr>
      <w:r w:rsidRPr="008C5444">
        <w:rPr>
          <w:noProof/>
          <w:lang w:eastAsia="en-ZA"/>
        </w:rPr>
        <w:drawing>
          <wp:inline distT="0" distB="0" distL="0" distR="0" wp14:anchorId="3375D76D" wp14:editId="4AD635E8">
            <wp:extent cx="3796030" cy="3476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6030" cy="3476625"/>
                    </a:xfrm>
                    <a:prstGeom prst="rect">
                      <a:avLst/>
                    </a:prstGeom>
                    <a:noFill/>
                    <a:ln>
                      <a:noFill/>
                    </a:ln>
                  </pic:spPr>
                </pic:pic>
              </a:graphicData>
            </a:graphic>
          </wp:inline>
        </w:drawing>
      </w:r>
    </w:p>
    <w:p w:rsidR="008C5444" w:rsidRDefault="008C5444" w:rsidP="00355695">
      <w:pPr>
        <w:ind w:left="993" w:hanging="993"/>
        <w:jc w:val="both"/>
        <w:rPr>
          <w:rFonts w:ascii="Verdana" w:hAnsi="Verdana"/>
        </w:rPr>
      </w:pPr>
    </w:p>
    <w:p w:rsidR="008C5444" w:rsidRDefault="008C5444" w:rsidP="00355695">
      <w:pPr>
        <w:ind w:left="993" w:hanging="993"/>
        <w:jc w:val="both"/>
        <w:rPr>
          <w:rFonts w:ascii="Verdana" w:hAnsi="Verdana"/>
        </w:rPr>
      </w:pPr>
    </w:p>
    <w:p w:rsidR="008C5444" w:rsidRPr="003C2FEA" w:rsidRDefault="008C5444" w:rsidP="00355695">
      <w:pPr>
        <w:ind w:left="993" w:hanging="993"/>
        <w:jc w:val="both"/>
        <w:rPr>
          <w:rFonts w:ascii="Verdana" w:hAnsi="Verdana"/>
        </w:rPr>
      </w:pPr>
      <w:r w:rsidRPr="008C5444">
        <w:rPr>
          <w:noProof/>
          <w:lang w:eastAsia="en-ZA"/>
        </w:rPr>
        <w:drawing>
          <wp:inline distT="0" distB="0" distL="0" distR="0" wp14:anchorId="0F1B4212" wp14:editId="23C276A5">
            <wp:extent cx="3796030" cy="2902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6030" cy="2902585"/>
                    </a:xfrm>
                    <a:prstGeom prst="rect">
                      <a:avLst/>
                    </a:prstGeom>
                    <a:noFill/>
                    <a:ln>
                      <a:noFill/>
                    </a:ln>
                  </pic:spPr>
                </pic:pic>
              </a:graphicData>
            </a:graphic>
          </wp:inline>
        </w:drawing>
      </w:r>
    </w:p>
    <w:sectPr w:rsidR="008C5444" w:rsidRPr="003C2FEA" w:rsidSect="00355695">
      <w:headerReference w:type="default" r:id="rId22"/>
      <w:pgSz w:w="11906" w:h="16838"/>
      <w:pgMar w:top="820" w:right="144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3B" w:rsidRDefault="003D1D3B" w:rsidP="007947F4">
      <w:pPr>
        <w:spacing w:after="0" w:line="240" w:lineRule="auto"/>
      </w:pPr>
      <w:r>
        <w:separator/>
      </w:r>
    </w:p>
  </w:endnote>
  <w:endnote w:type="continuationSeparator" w:id="0">
    <w:p w:rsidR="003D1D3B" w:rsidRDefault="003D1D3B" w:rsidP="0079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B0" w:rsidRDefault="006E22B0" w:rsidP="001E7C53">
    <w:pPr>
      <w:pStyle w:val="Footer"/>
      <w:pBdr>
        <w:top w:val="single" w:sz="4" w:space="1" w:color="auto"/>
      </w:pBdr>
    </w:pPr>
    <w:r>
      <w:t>2 March 2016</w:t>
    </w:r>
    <w:r>
      <w:tab/>
    </w:r>
    <w:r>
      <w:tab/>
      <w:t xml:space="preserve">Page </w:t>
    </w:r>
    <w:r>
      <w:rPr>
        <w:b/>
      </w:rPr>
      <w:fldChar w:fldCharType="begin"/>
    </w:r>
    <w:r>
      <w:rPr>
        <w:b/>
      </w:rPr>
      <w:instrText xml:space="preserve"> PAGE  \* Arabic  \* MERGEFORMAT </w:instrText>
    </w:r>
    <w:r>
      <w:rPr>
        <w:b/>
      </w:rPr>
      <w:fldChar w:fldCharType="separate"/>
    </w:r>
    <w:r w:rsidR="00CE7BCF">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E7BCF">
      <w:rPr>
        <w:b/>
        <w:noProof/>
      </w:rPr>
      <w:t>11</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C3" w:rsidRDefault="00D96FC3" w:rsidP="001E7C53">
    <w:pPr>
      <w:pStyle w:val="Footer"/>
      <w:pBdr>
        <w:top w:val="single" w:sz="4" w:space="1" w:color="auto"/>
      </w:pBdr>
    </w:pPr>
    <w:r>
      <w:t>2 March 2016</w:t>
    </w:r>
    <w:r>
      <w:tab/>
    </w:r>
    <w:r>
      <w:tab/>
    </w:r>
    <w:r>
      <w:tab/>
    </w:r>
    <w:r>
      <w:tab/>
    </w:r>
    <w:r>
      <w:tab/>
    </w:r>
    <w:r>
      <w:tab/>
    </w:r>
    <w:r>
      <w:tab/>
    </w:r>
    <w:r>
      <w:tab/>
      <w:t xml:space="preserve">      Page </w:t>
    </w:r>
    <w:r>
      <w:rPr>
        <w:b/>
      </w:rPr>
      <w:fldChar w:fldCharType="begin"/>
    </w:r>
    <w:r>
      <w:rPr>
        <w:b/>
      </w:rPr>
      <w:instrText xml:space="preserve"> PAGE  \* Arabic  \* MERGEFORMAT </w:instrText>
    </w:r>
    <w:r>
      <w:rPr>
        <w:b/>
      </w:rPr>
      <w:fldChar w:fldCharType="separate"/>
    </w:r>
    <w:r w:rsidR="00CE7BCF">
      <w:rPr>
        <w:b/>
        <w:noProof/>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sidR="00CE7BCF">
      <w:rPr>
        <w:b/>
        <w:noProof/>
      </w:rPr>
      <w:t>11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3B" w:rsidRDefault="003D1D3B" w:rsidP="007947F4">
      <w:pPr>
        <w:spacing w:after="0" w:line="240" w:lineRule="auto"/>
      </w:pPr>
      <w:r>
        <w:separator/>
      </w:r>
    </w:p>
  </w:footnote>
  <w:footnote w:type="continuationSeparator" w:id="0">
    <w:p w:rsidR="003D1D3B" w:rsidRDefault="003D1D3B" w:rsidP="00794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F4" w:rsidRPr="00355695" w:rsidRDefault="007947F4" w:rsidP="007947F4">
    <w:pPr>
      <w:spacing w:after="0" w:line="240" w:lineRule="auto"/>
      <w:jc w:val="right"/>
      <w:rPr>
        <w:rFonts w:ascii="Verdana" w:eastAsia="Times New Roman" w:hAnsi="Verdana" w:cs="Times New Roman"/>
        <w:lang w:val="en-US"/>
      </w:rPr>
    </w:pPr>
    <w:r w:rsidRPr="00355695">
      <w:rPr>
        <w:rFonts w:ascii="Verdana" w:eastAsia="Times New Roman" w:hAnsi="Verdana" w:cs="Times New Roman"/>
        <w:lang w:val="en-US"/>
      </w:rPr>
      <w:t>-WP/</w:t>
    </w:r>
    <w:r w:rsidR="00D327B1" w:rsidRPr="00355695">
      <w:rPr>
        <w:rFonts w:ascii="Verdana" w:eastAsia="Times New Roman" w:hAnsi="Verdana" w:cs="Times New Roman"/>
        <w:color w:val="000000"/>
        <w:lang w:val="en-US"/>
      </w:rPr>
      <w:t>xx</w:t>
    </w:r>
  </w:p>
  <w:p w:rsidR="007947F4" w:rsidRPr="00355695" w:rsidRDefault="0002292B" w:rsidP="007947F4">
    <w:pPr>
      <w:spacing w:after="0" w:line="240" w:lineRule="auto"/>
      <w:jc w:val="right"/>
      <w:rPr>
        <w:rFonts w:ascii="Verdana" w:eastAsia="Times New Roman" w:hAnsi="Verdana" w:cs="Times New Roman"/>
        <w:lang w:val="en-US"/>
      </w:rPr>
    </w:pPr>
    <w:r w:rsidRPr="00355695">
      <w:rPr>
        <w:rFonts w:ascii="Verdana" w:eastAsia="Times New Roman" w:hAnsi="Verdana" w:cs="Times New Roman"/>
        <w:lang w:val="en-US"/>
      </w:rPr>
      <w:t>10</w:t>
    </w:r>
    <w:r w:rsidR="00BE1205" w:rsidRPr="00355695">
      <w:rPr>
        <w:rFonts w:ascii="Verdana" w:eastAsia="Times New Roman" w:hAnsi="Verdana" w:cs="Times New Roman"/>
        <w:lang w:val="en-US"/>
      </w:rPr>
      <w:t>/03</w:t>
    </w:r>
    <w:r w:rsidR="007947F4" w:rsidRPr="00355695">
      <w:rPr>
        <w:rFonts w:ascii="Verdana" w:eastAsia="Times New Roman" w:hAnsi="Verdana" w:cs="Times New Roman"/>
        <w:lang w:val="en-US"/>
      </w:rPr>
      <w:t>/201</w:t>
    </w:r>
    <w:r w:rsidRPr="00355695">
      <w:rPr>
        <w:rFonts w:ascii="Verdana" w:eastAsia="Times New Roman" w:hAnsi="Verdana" w:cs="Times New Roman"/>
        <w:lang w:val="en-US"/>
      </w:rPr>
      <w:t>7</w:t>
    </w:r>
  </w:p>
  <w:p w:rsidR="007947F4" w:rsidRDefault="00366719" w:rsidP="00355695">
    <w:pPr>
      <w:pStyle w:val="Header"/>
      <w:jc w:val="center"/>
      <w:rPr>
        <w:rFonts w:ascii="Verdana" w:hAnsi="Verdana"/>
        <w:b/>
      </w:rPr>
    </w:pPr>
    <w:r>
      <w:rPr>
        <w:rFonts w:ascii="Verdana" w:hAnsi="Verdana"/>
        <w:b/>
      </w:rPr>
      <w:t>13</w:t>
    </w:r>
    <w:r w:rsidRPr="00366719">
      <w:rPr>
        <w:rFonts w:ascii="Verdana" w:hAnsi="Verdana"/>
        <w:b/>
        <w:vertAlign w:val="superscript"/>
      </w:rPr>
      <w:t>th</w:t>
    </w:r>
    <w:r>
      <w:rPr>
        <w:rFonts w:ascii="Verdana" w:hAnsi="Verdana"/>
        <w:b/>
      </w:rPr>
      <w:t xml:space="preserve"> </w:t>
    </w:r>
    <w:r w:rsidR="00C41AAD" w:rsidRPr="00355695">
      <w:rPr>
        <w:rFonts w:ascii="Verdana" w:hAnsi="Verdana"/>
        <w:b/>
      </w:rPr>
      <w:t>SADC VSAT SUPERVISORY BOARD MEETING</w:t>
    </w:r>
  </w:p>
  <w:p w:rsidR="00C41AAD" w:rsidRDefault="00C41AAD" w:rsidP="00355695">
    <w:pPr>
      <w:pStyle w:val="Header"/>
      <w:pBdr>
        <w:bottom w:val="single" w:sz="12" w:space="1" w:color="auto"/>
      </w:pBdr>
      <w:jc w:val="center"/>
      <w:rPr>
        <w:rFonts w:ascii="Verdana" w:hAnsi="Verdana"/>
        <w:b/>
      </w:rPr>
    </w:pPr>
    <w:r>
      <w:rPr>
        <w:rFonts w:ascii="Verdana" w:hAnsi="Verdana"/>
        <w:b/>
      </w:rPr>
      <w:t>(Gaborone, Botswana, 29 – 31 March 2017)</w:t>
    </w:r>
  </w:p>
  <w:p w:rsidR="00C41AAD" w:rsidRPr="00355695" w:rsidRDefault="00C41AAD" w:rsidP="00355695">
    <w:pPr>
      <w:pStyle w:val="Header"/>
      <w:pBdr>
        <w:bottom w:val="single" w:sz="12" w:space="1" w:color="auto"/>
      </w:pBdr>
      <w:jc w:val="center"/>
      <w:rPr>
        <w:rFonts w:ascii="Verdana" w:hAnsi="Verdana"/>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75" w:rsidRPr="005F3124" w:rsidRDefault="00D64029" w:rsidP="007947F4">
    <w:pPr>
      <w:spacing w:after="0" w:line="240" w:lineRule="auto"/>
      <w:jc w:val="right"/>
      <w:rPr>
        <w:rFonts w:ascii="Verdana" w:eastAsia="Times New Roman" w:hAnsi="Verdana" w:cs="Times New Roman"/>
        <w:b/>
        <w:lang w:val="en-US"/>
      </w:rPr>
    </w:pPr>
    <w:r>
      <w:rPr>
        <w:rFonts w:ascii="Verdana" w:eastAsia="Times New Roman" w:hAnsi="Verdana" w:cs="Times New Roman"/>
        <w:b/>
        <w:lang w:val="en-US"/>
      </w:rPr>
      <w:t>Attachment A</w:t>
    </w:r>
  </w:p>
  <w:p w:rsidR="009E6875" w:rsidRDefault="009E6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2B" w:rsidRPr="005F3124" w:rsidRDefault="0002292B" w:rsidP="007947F4">
    <w:pPr>
      <w:spacing w:after="0" w:line="240" w:lineRule="auto"/>
      <w:jc w:val="right"/>
      <w:rPr>
        <w:rFonts w:ascii="Verdana" w:eastAsia="Times New Roman" w:hAnsi="Verdana" w:cs="Times New Roman"/>
        <w:b/>
        <w:lang w:val="en-US"/>
      </w:rPr>
    </w:pPr>
    <w:r>
      <w:rPr>
        <w:rFonts w:ascii="Verdana" w:eastAsia="Times New Roman" w:hAnsi="Verdana" w:cs="Times New Roman"/>
        <w:b/>
        <w:lang w:val="en-US"/>
      </w:rPr>
      <w:t xml:space="preserve">Attachment </w:t>
    </w:r>
    <w:r w:rsidR="00B1091A">
      <w:rPr>
        <w:rFonts w:ascii="Verdana" w:eastAsia="Times New Roman" w:hAnsi="Verdana" w:cs="Times New Roman"/>
        <w:b/>
        <w:lang w:val="en-US"/>
      </w:rPr>
      <w:t>B</w:t>
    </w:r>
    <w:r w:rsidR="001F41EF">
      <w:rPr>
        <w:rFonts w:ascii="Verdana" w:eastAsia="Times New Roman" w:hAnsi="Verdana" w:cs="Times New Roman"/>
        <w:b/>
        <w:lang w:val="en-US"/>
      </w:rPr>
      <w:t>/1</w:t>
    </w:r>
  </w:p>
  <w:p w:rsidR="0002292B" w:rsidRDefault="000229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1A" w:rsidRPr="005F3124" w:rsidRDefault="00B1091A" w:rsidP="007947F4">
    <w:pPr>
      <w:spacing w:after="0" w:line="240" w:lineRule="auto"/>
      <w:jc w:val="right"/>
      <w:rPr>
        <w:rFonts w:ascii="Verdana" w:eastAsia="Times New Roman" w:hAnsi="Verdana" w:cs="Times New Roman"/>
        <w:b/>
        <w:lang w:val="en-US"/>
      </w:rPr>
    </w:pPr>
    <w:r>
      <w:rPr>
        <w:rFonts w:ascii="Verdana" w:eastAsia="Times New Roman" w:hAnsi="Verdana" w:cs="Times New Roman"/>
        <w:b/>
        <w:lang w:val="en-US"/>
      </w:rPr>
      <w:t xml:space="preserve">Attachment </w:t>
    </w:r>
    <w:r w:rsidR="001F41EF">
      <w:rPr>
        <w:rFonts w:ascii="Verdana" w:eastAsia="Times New Roman" w:hAnsi="Verdana" w:cs="Times New Roman"/>
        <w:b/>
        <w:lang w:val="en-US"/>
      </w:rPr>
      <w:t>B/2</w:t>
    </w:r>
  </w:p>
  <w:p w:rsidR="00B1091A" w:rsidRDefault="00B109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EF" w:rsidRPr="005F3124" w:rsidRDefault="001F41EF" w:rsidP="007947F4">
    <w:pPr>
      <w:spacing w:after="0" w:line="240" w:lineRule="auto"/>
      <w:jc w:val="right"/>
      <w:rPr>
        <w:rFonts w:ascii="Verdana" w:eastAsia="Times New Roman" w:hAnsi="Verdana" w:cs="Times New Roman"/>
        <w:b/>
        <w:lang w:val="en-US"/>
      </w:rPr>
    </w:pPr>
    <w:r>
      <w:rPr>
        <w:rFonts w:ascii="Verdana" w:eastAsia="Times New Roman" w:hAnsi="Verdana" w:cs="Times New Roman"/>
        <w:b/>
        <w:lang w:val="en-US"/>
      </w:rPr>
      <w:t>Attachment C</w:t>
    </w:r>
  </w:p>
  <w:p w:rsidR="001F41EF" w:rsidRDefault="001F41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44" w:rsidRPr="005F3124" w:rsidRDefault="008C5444" w:rsidP="007947F4">
    <w:pPr>
      <w:spacing w:after="0" w:line="240" w:lineRule="auto"/>
      <w:jc w:val="right"/>
      <w:rPr>
        <w:rFonts w:ascii="Verdana" w:eastAsia="Times New Roman" w:hAnsi="Verdana" w:cs="Times New Roman"/>
        <w:b/>
        <w:lang w:val="en-US"/>
      </w:rPr>
    </w:pPr>
    <w:r>
      <w:rPr>
        <w:rFonts w:ascii="Verdana" w:eastAsia="Times New Roman" w:hAnsi="Verdana" w:cs="Times New Roman"/>
        <w:b/>
        <w:lang w:val="en-US"/>
      </w:rPr>
      <w:t>Attachment D</w:t>
    </w:r>
  </w:p>
  <w:p w:rsidR="008C5444" w:rsidRDefault="008C5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41B0"/>
    <w:multiLevelType w:val="hybridMultilevel"/>
    <w:tmpl w:val="934A026C"/>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1">
    <w:nsid w:val="28F31C8D"/>
    <w:multiLevelType w:val="hybridMultilevel"/>
    <w:tmpl w:val="F94C81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C0CF0"/>
    <w:multiLevelType w:val="hybridMultilevel"/>
    <w:tmpl w:val="10329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A5465"/>
    <w:multiLevelType w:val="hybridMultilevel"/>
    <w:tmpl w:val="E452C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F493E9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3CF5323"/>
    <w:multiLevelType w:val="multilevel"/>
    <w:tmpl w:val="584AA8D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5BD504B"/>
    <w:multiLevelType w:val="hybridMultilevel"/>
    <w:tmpl w:val="75360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A05078A"/>
    <w:multiLevelType w:val="hybridMultilevel"/>
    <w:tmpl w:val="BCD4943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6AFF7CFF"/>
    <w:multiLevelType w:val="hybridMultilevel"/>
    <w:tmpl w:val="825C63C4"/>
    <w:lvl w:ilvl="0" w:tplc="CB1A2FC8">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4"/>
  </w:num>
  <w:num w:numId="2">
    <w:abstractNumId w:val="8"/>
  </w:num>
  <w:num w:numId="3">
    <w:abstractNumId w:val="6"/>
  </w:num>
  <w:num w:numId="4">
    <w:abstractNumId w:val="5"/>
  </w:num>
  <w:num w:numId="5">
    <w:abstractNumId w:val="2"/>
  </w:num>
  <w:num w:numId="6">
    <w:abstractNumId w:val="1"/>
  </w:num>
  <w:num w:numId="7">
    <w:abstractNumId w:val="3"/>
  </w:num>
  <w:num w:numId="8">
    <w:abstractNumId w:val="0"/>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on Nel">
    <w15:presenceInfo w15:providerId="Windows Live" w15:userId="53702ff0993b40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1C"/>
    <w:rsid w:val="0000090B"/>
    <w:rsid w:val="000024D7"/>
    <w:rsid w:val="0002292B"/>
    <w:rsid w:val="0002330B"/>
    <w:rsid w:val="00060E6D"/>
    <w:rsid w:val="000A665D"/>
    <w:rsid w:val="000B514D"/>
    <w:rsid w:val="000C406B"/>
    <w:rsid w:val="000D563B"/>
    <w:rsid w:val="000F4322"/>
    <w:rsid w:val="00114719"/>
    <w:rsid w:val="00145451"/>
    <w:rsid w:val="00153D57"/>
    <w:rsid w:val="0019064B"/>
    <w:rsid w:val="001C2908"/>
    <w:rsid w:val="001E5B7B"/>
    <w:rsid w:val="001E5E0D"/>
    <w:rsid w:val="001E7C53"/>
    <w:rsid w:val="001F2F35"/>
    <w:rsid w:val="001F41EF"/>
    <w:rsid w:val="00202F84"/>
    <w:rsid w:val="0020481C"/>
    <w:rsid w:val="00210A72"/>
    <w:rsid w:val="00233E2B"/>
    <w:rsid w:val="002414DE"/>
    <w:rsid w:val="0025637B"/>
    <w:rsid w:val="002654F0"/>
    <w:rsid w:val="0026682C"/>
    <w:rsid w:val="002723C7"/>
    <w:rsid w:val="00276208"/>
    <w:rsid w:val="002D3734"/>
    <w:rsid w:val="002D7006"/>
    <w:rsid w:val="002F2327"/>
    <w:rsid w:val="00304212"/>
    <w:rsid w:val="003155C4"/>
    <w:rsid w:val="00322468"/>
    <w:rsid w:val="003236B1"/>
    <w:rsid w:val="00355695"/>
    <w:rsid w:val="00366719"/>
    <w:rsid w:val="00384155"/>
    <w:rsid w:val="003B059A"/>
    <w:rsid w:val="003C2FEA"/>
    <w:rsid w:val="003D1D3B"/>
    <w:rsid w:val="003D726B"/>
    <w:rsid w:val="00405152"/>
    <w:rsid w:val="00493FFA"/>
    <w:rsid w:val="004B1B8B"/>
    <w:rsid w:val="004D27D9"/>
    <w:rsid w:val="004F0797"/>
    <w:rsid w:val="0050281A"/>
    <w:rsid w:val="00504E34"/>
    <w:rsid w:val="00517A71"/>
    <w:rsid w:val="00550EA4"/>
    <w:rsid w:val="00552092"/>
    <w:rsid w:val="005864D6"/>
    <w:rsid w:val="005A26B3"/>
    <w:rsid w:val="005A2A12"/>
    <w:rsid w:val="005C4DDC"/>
    <w:rsid w:val="005D111A"/>
    <w:rsid w:val="005F3124"/>
    <w:rsid w:val="0062148A"/>
    <w:rsid w:val="006247D3"/>
    <w:rsid w:val="00640CB3"/>
    <w:rsid w:val="006B2D07"/>
    <w:rsid w:val="006C2843"/>
    <w:rsid w:val="006C5990"/>
    <w:rsid w:val="006D7910"/>
    <w:rsid w:val="006E22B0"/>
    <w:rsid w:val="006E3611"/>
    <w:rsid w:val="00716F00"/>
    <w:rsid w:val="00750BE1"/>
    <w:rsid w:val="00757599"/>
    <w:rsid w:val="007947F4"/>
    <w:rsid w:val="007A5835"/>
    <w:rsid w:val="007B5380"/>
    <w:rsid w:val="007D74E3"/>
    <w:rsid w:val="00827092"/>
    <w:rsid w:val="0083183A"/>
    <w:rsid w:val="00844129"/>
    <w:rsid w:val="00844918"/>
    <w:rsid w:val="0084730B"/>
    <w:rsid w:val="008559F4"/>
    <w:rsid w:val="00857699"/>
    <w:rsid w:val="008B4132"/>
    <w:rsid w:val="008C5444"/>
    <w:rsid w:val="008D64BF"/>
    <w:rsid w:val="008E6F73"/>
    <w:rsid w:val="008E6F95"/>
    <w:rsid w:val="008F28B3"/>
    <w:rsid w:val="00913441"/>
    <w:rsid w:val="00930F8B"/>
    <w:rsid w:val="009428B9"/>
    <w:rsid w:val="00943119"/>
    <w:rsid w:val="00984932"/>
    <w:rsid w:val="0099144D"/>
    <w:rsid w:val="009B0550"/>
    <w:rsid w:val="009B0A81"/>
    <w:rsid w:val="009C6B17"/>
    <w:rsid w:val="009D32F2"/>
    <w:rsid w:val="009E6875"/>
    <w:rsid w:val="00A077C3"/>
    <w:rsid w:val="00A23DE0"/>
    <w:rsid w:val="00A30668"/>
    <w:rsid w:val="00A431C8"/>
    <w:rsid w:val="00A63EDB"/>
    <w:rsid w:val="00A66168"/>
    <w:rsid w:val="00A90D0A"/>
    <w:rsid w:val="00AA1790"/>
    <w:rsid w:val="00AB2491"/>
    <w:rsid w:val="00AD0ACA"/>
    <w:rsid w:val="00AE2003"/>
    <w:rsid w:val="00B1091A"/>
    <w:rsid w:val="00B4528B"/>
    <w:rsid w:val="00B52832"/>
    <w:rsid w:val="00BD5C01"/>
    <w:rsid w:val="00BE1205"/>
    <w:rsid w:val="00BF001A"/>
    <w:rsid w:val="00C02150"/>
    <w:rsid w:val="00C06BC8"/>
    <w:rsid w:val="00C41AAD"/>
    <w:rsid w:val="00C42F89"/>
    <w:rsid w:val="00C446BF"/>
    <w:rsid w:val="00C758C3"/>
    <w:rsid w:val="00CB7682"/>
    <w:rsid w:val="00CE4763"/>
    <w:rsid w:val="00CE7BCF"/>
    <w:rsid w:val="00CF04A3"/>
    <w:rsid w:val="00CF17E9"/>
    <w:rsid w:val="00D137A0"/>
    <w:rsid w:val="00D17905"/>
    <w:rsid w:val="00D222A4"/>
    <w:rsid w:val="00D327B1"/>
    <w:rsid w:val="00D40CA2"/>
    <w:rsid w:val="00D41537"/>
    <w:rsid w:val="00D4227D"/>
    <w:rsid w:val="00D45244"/>
    <w:rsid w:val="00D64029"/>
    <w:rsid w:val="00D96FC3"/>
    <w:rsid w:val="00DA6A07"/>
    <w:rsid w:val="00DD1F08"/>
    <w:rsid w:val="00E13B73"/>
    <w:rsid w:val="00E15C8E"/>
    <w:rsid w:val="00E16D04"/>
    <w:rsid w:val="00E21152"/>
    <w:rsid w:val="00E24A3C"/>
    <w:rsid w:val="00E31189"/>
    <w:rsid w:val="00E7688C"/>
    <w:rsid w:val="00E76C5A"/>
    <w:rsid w:val="00E909B4"/>
    <w:rsid w:val="00EC65D2"/>
    <w:rsid w:val="00EE31CC"/>
    <w:rsid w:val="00EF6E11"/>
    <w:rsid w:val="00F06DEE"/>
    <w:rsid w:val="00FA1811"/>
    <w:rsid w:val="00FA2521"/>
    <w:rsid w:val="00FE4355"/>
    <w:rsid w:val="00FF1A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 Body 2"/>
    <w:basedOn w:val="Normal"/>
    <w:link w:val="ListParagraphChar"/>
    <w:uiPriority w:val="34"/>
    <w:qFormat/>
    <w:rsid w:val="0020481C"/>
    <w:pPr>
      <w:ind w:left="720"/>
      <w:contextualSpacing/>
    </w:pPr>
    <w:rPr>
      <w:rFonts w:ascii="Verdana" w:eastAsia="Calibri" w:hAnsi="Verdana" w:cs="Times New Roman"/>
      <w:lang w:val="en-GB"/>
    </w:rPr>
  </w:style>
  <w:style w:type="character" w:customStyle="1" w:styleId="ListParagraphChar">
    <w:name w:val="List Paragraph Char"/>
    <w:aliases w:val="Rep Body 2 Char"/>
    <w:link w:val="ListParagraph"/>
    <w:rsid w:val="0020481C"/>
    <w:rPr>
      <w:rFonts w:ascii="Verdana" w:eastAsia="Calibri" w:hAnsi="Verdana" w:cs="Times New Roman"/>
      <w:lang w:val="en-GB"/>
    </w:rPr>
  </w:style>
  <w:style w:type="table" w:styleId="TableGrid">
    <w:name w:val="Table Grid"/>
    <w:basedOn w:val="TableNormal"/>
    <w:uiPriority w:val="59"/>
    <w:rsid w:val="00493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7F4"/>
  </w:style>
  <w:style w:type="paragraph" w:styleId="Footer">
    <w:name w:val="footer"/>
    <w:basedOn w:val="Normal"/>
    <w:link w:val="FooterChar"/>
    <w:uiPriority w:val="99"/>
    <w:unhideWhenUsed/>
    <w:rsid w:val="0079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7F4"/>
  </w:style>
  <w:style w:type="paragraph" w:styleId="BalloonText">
    <w:name w:val="Balloon Text"/>
    <w:basedOn w:val="Normal"/>
    <w:link w:val="BalloonTextChar"/>
    <w:uiPriority w:val="99"/>
    <w:semiHidden/>
    <w:unhideWhenUsed/>
    <w:rsid w:val="008F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B3"/>
    <w:rPr>
      <w:rFonts w:ascii="Tahoma" w:hAnsi="Tahoma" w:cs="Tahoma"/>
      <w:sz w:val="16"/>
      <w:szCs w:val="16"/>
    </w:rPr>
  </w:style>
  <w:style w:type="character" w:styleId="Strong">
    <w:name w:val="Strong"/>
    <w:basedOn w:val="DefaultParagraphFont"/>
    <w:uiPriority w:val="22"/>
    <w:qFormat/>
    <w:rsid w:val="005D11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 Body 2"/>
    <w:basedOn w:val="Normal"/>
    <w:link w:val="ListParagraphChar"/>
    <w:uiPriority w:val="34"/>
    <w:qFormat/>
    <w:rsid w:val="0020481C"/>
    <w:pPr>
      <w:ind w:left="720"/>
      <w:contextualSpacing/>
    </w:pPr>
    <w:rPr>
      <w:rFonts w:ascii="Verdana" w:eastAsia="Calibri" w:hAnsi="Verdana" w:cs="Times New Roman"/>
      <w:lang w:val="en-GB"/>
    </w:rPr>
  </w:style>
  <w:style w:type="character" w:customStyle="1" w:styleId="ListParagraphChar">
    <w:name w:val="List Paragraph Char"/>
    <w:aliases w:val="Rep Body 2 Char"/>
    <w:link w:val="ListParagraph"/>
    <w:rsid w:val="0020481C"/>
    <w:rPr>
      <w:rFonts w:ascii="Verdana" w:eastAsia="Calibri" w:hAnsi="Verdana" w:cs="Times New Roman"/>
      <w:lang w:val="en-GB"/>
    </w:rPr>
  </w:style>
  <w:style w:type="table" w:styleId="TableGrid">
    <w:name w:val="Table Grid"/>
    <w:basedOn w:val="TableNormal"/>
    <w:uiPriority w:val="59"/>
    <w:rsid w:val="00493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7F4"/>
  </w:style>
  <w:style w:type="paragraph" w:styleId="Footer">
    <w:name w:val="footer"/>
    <w:basedOn w:val="Normal"/>
    <w:link w:val="FooterChar"/>
    <w:uiPriority w:val="99"/>
    <w:unhideWhenUsed/>
    <w:rsid w:val="0079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7F4"/>
  </w:style>
  <w:style w:type="paragraph" w:styleId="BalloonText">
    <w:name w:val="Balloon Text"/>
    <w:basedOn w:val="Normal"/>
    <w:link w:val="BalloonTextChar"/>
    <w:uiPriority w:val="99"/>
    <w:semiHidden/>
    <w:unhideWhenUsed/>
    <w:rsid w:val="008F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B3"/>
    <w:rPr>
      <w:rFonts w:ascii="Tahoma" w:hAnsi="Tahoma" w:cs="Tahoma"/>
      <w:sz w:val="16"/>
      <w:szCs w:val="16"/>
    </w:rPr>
  </w:style>
  <w:style w:type="character" w:styleId="Strong">
    <w:name w:val="Strong"/>
    <w:basedOn w:val="DefaultParagraphFont"/>
    <w:uiPriority w:val="22"/>
    <w:qFormat/>
    <w:rsid w:val="005D1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340E-9EC7-4BCA-9BD6-D8DA9C68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1542</Words>
  <Characters>8375</Characters>
  <Application>Microsoft Office Word</Application>
  <DocSecurity>0</DocSecurity>
  <Lines>199</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Nel</dc:creator>
  <cp:lastModifiedBy>Martina MC. Langa</cp:lastModifiedBy>
  <cp:revision>2</cp:revision>
  <cp:lastPrinted>2017-03-16T11:41:00Z</cp:lastPrinted>
  <dcterms:created xsi:type="dcterms:W3CDTF">2017-03-22T15:30:00Z</dcterms:created>
  <dcterms:modified xsi:type="dcterms:W3CDTF">2017-03-22T15:30:00Z</dcterms:modified>
</cp:coreProperties>
</file>